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>Mário Reis Filgueiras</w:t>
      </w:r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594878">
        <w:rPr>
          <w:rFonts w:ascii="Verdana" w:hAnsi="Verdana" w:cs="Arial"/>
          <w:b/>
          <w:sz w:val="21"/>
          <w:szCs w:val="21"/>
        </w:rPr>
        <w:t>TIDIMAR COMERCIO DE PRODUTOS MEDICOS HOSPITALARES LTDA EPP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594878">
        <w:rPr>
          <w:rFonts w:ascii="Verdana" w:hAnsi="Verdana" w:cs="Arial"/>
          <w:sz w:val="21"/>
          <w:szCs w:val="21"/>
        </w:rPr>
        <w:t>Rua Maria Perpétua, nº. 322, bairro Ladeira, Juiz de Fora/MG, CEP 36.052-560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76310F">
        <w:rPr>
          <w:rFonts w:ascii="Verdana" w:hAnsi="Verdana" w:cs="Arial"/>
          <w:sz w:val="21"/>
          <w:szCs w:val="21"/>
        </w:rPr>
        <w:t>25.296.849/0001-85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76310F">
        <w:rPr>
          <w:rFonts w:ascii="Verdana" w:hAnsi="Verdana" w:cs="Arial"/>
          <w:sz w:val="21"/>
          <w:szCs w:val="21"/>
        </w:rPr>
        <w:t>Dhiogo Neto Silva</w:t>
      </w:r>
      <w:r w:rsidR="002C1887">
        <w:rPr>
          <w:rFonts w:ascii="Verdana" w:hAnsi="Verdana" w:cs="Arial"/>
          <w:sz w:val="21"/>
          <w:szCs w:val="21"/>
        </w:rPr>
        <w:t xml:space="preserve">, inscrito no CPF/MF sob o nº. </w:t>
      </w:r>
      <w:r w:rsidR="0076310F">
        <w:rPr>
          <w:rFonts w:ascii="Verdana" w:hAnsi="Verdana" w:cs="Arial"/>
          <w:sz w:val="21"/>
          <w:szCs w:val="21"/>
        </w:rPr>
        <w:t>070.186.986-00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C7594C" w:rsidRPr="006C51E6" w:rsidRDefault="00C759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245"/>
        <w:gridCol w:w="992"/>
        <w:gridCol w:w="940"/>
        <w:gridCol w:w="1319"/>
        <w:gridCol w:w="1002"/>
        <w:gridCol w:w="1100"/>
        <w:gridCol w:w="1026"/>
        <w:gridCol w:w="1180"/>
      </w:tblGrid>
      <w:tr w:rsidR="00121352" w:rsidRPr="00121352" w:rsidTr="00B521B4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559" w:type="dxa"/>
            <w:gridSpan w:val="7"/>
            <w:shd w:val="clear" w:color="auto" w:fill="auto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B521B4" w:rsidRPr="00121352" w:rsidTr="00B521B4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shd w:val="clear" w:color="000000" w:fill="BFBFB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02" w:type="dxa"/>
            <w:gridSpan w:val="2"/>
            <w:shd w:val="clear" w:color="000000" w:fill="BFBFB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06" w:type="dxa"/>
            <w:gridSpan w:val="2"/>
            <w:shd w:val="clear" w:color="000000" w:fill="BFBFB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665E9" w:rsidRPr="00121352" w:rsidTr="00B521B4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319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002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121352" w:rsidRPr="00121352" w:rsidTr="00B521B4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efortil 10 mg/ml - ampola 1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3.000,00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pavulon ou brometo de pancurônio 4 mg - ampola 2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5,500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2.750,000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13.750,00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tenoxicam 20 mg - ampola 2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6,490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19.470,000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19.470,00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97.350,00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ÁCIDO ACETILSALICÍLICO 100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6.000,000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30.000,00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ÁCIDO FÓLICO  0,2 MG/ML - GOTAS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5,500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27.500,000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137.500,00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ÁCIDO FÓLICO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4.000,00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CARVEDILOL 3,125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0,070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3.500,000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17.500,00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CLORIDRATO DE </w:t>
            </w: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 xml:space="preserve">METILFENIDATO 10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0,798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7.980,000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7.980,00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39.900,00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CLORPROMAZINA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0,110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1.650,000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8.250,00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45" w:type="dxa"/>
            <w:shd w:val="clear" w:color="000000" w:fill="FFFFFF"/>
            <w:noWrap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CLORPROMAZINA SOLUÇÃO ORAL 40MG/ML - FRASCO COM 20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5,300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1.325,000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6.625,00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HALOPERIDOL 2 MG/ML - FRASCO COM 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458,000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2.290,00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METILDOPA COMPRIMIDO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50.400,000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252.000,00</w:t>
            </w:r>
          </w:p>
        </w:tc>
      </w:tr>
      <w:tr w:rsidR="00D665E9" w:rsidRPr="00121352" w:rsidTr="00B521B4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NITROFURANTOÍNA CÁPSULA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21352" w:rsidRPr="00121352" w:rsidRDefault="00121352" w:rsidP="00121352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0,283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1.698,000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1.698,00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21352" w:rsidRPr="00121352" w:rsidRDefault="00121352" w:rsidP="00B521B4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21352">
              <w:rPr>
                <w:rFonts w:ascii="Verdana" w:hAnsi="Verdana" w:cs="Times New Roman"/>
                <w:color w:val="000000"/>
                <w:sz w:val="16"/>
                <w:szCs w:val="16"/>
              </w:rPr>
              <w:t>8.490,00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</w:t>
      </w:r>
      <w:r w:rsidRPr="008D233F">
        <w:rPr>
          <w:rFonts w:ascii="Verdana" w:hAnsi="Verdana"/>
          <w:sz w:val="21"/>
          <w:szCs w:val="21"/>
        </w:rPr>
        <w:lastRenderedPageBreak/>
        <w:t xml:space="preserve">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1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Mário Reis Filgueiras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B521B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Tidimar Comércio de Produtos Médicos Hospitalares Ltda EPP</w:t>
      </w:r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B521B4">
        <w:rPr>
          <w:rFonts w:ascii="Verdana" w:hAnsi="Verdana" w:cs="Arial"/>
          <w:sz w:val="21"/>
          <w:szCs w:val="21"/>
        </w:rPr>
        <w:t>25.296.849/0001-85</w:t>
      </w:r>
      <w:bookmarkStart w:id="2" w:name="_GoBack"/>
      <w:bookmarkEnd w:id="2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53" w:rsidRDefault="00AB0053">
      <w:r>
        <w:separator/>
      </w:r>
    </w:p>
  </w:endnote>
  <w:endnote w:type="continuationSeparator" w:id="0">
    <w:p w:rsidR="00AB0053" w:rsidRDefault="00AB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53" w:rsidRDefault="00AB0053">
      <w:r>
        <w:separator/>
      </w:r>
    </w:p>
  </w:footnote>
  <w:footnote w:type="continuationSeparator" w:id="0">
    <w:p w:rsidR="00AB0053" w:rsidRDefault="00AB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0E61B6"/>
    <w:rsid w:val="00116B3D"/>
    <w:rsid w:val="00121352"/>
    <w:rsid w:val="001369A1"/>
    <w:rsid w:val="00143111"/>
    <w:rsid w:val="00183DE2"/>
    <w:rsid w:val="00197813"/>
    <w:rsid w:val="001B5682"/>
    <w:rsid w:val="001C2839"/>
    <w:rsid w:val="001C3439"/>
    <w:rsid w:val="001F7F03"/>
    <w:rsid w:val="00237F98"/>
    <w:rsid w:val="002756C7"/>
    <w:rsid w:val="002A3520"/>
    <w:rsid w:val="002B3293"/>
    <w:rsid w:val="002B591A"/>
    <w:rsid w:val="002C1887"/>
    <w:rsid w:val="002E7725"/>
    <w:rsid w:val="002F1CD4"/>
    <w:rsid w:val="00303269"/>
    <w:rsid w:val="003248CC"/>
    <w:rsid w:val="003773F4"/>
    <w:rsid w:val="003778D9"/>
    <w:rsid w:val="003866D5"/>
    <w:rsid w:val="00392AA7"/>
    <w:rsid w:val="003A1C28"/>
    <w:rsid w:val="003C34B1"/>
    <w:rsid w:val="003E04E2"/>
    <w:rsid w:val="003F4CFD"/>
    <w:rsid w:val="00406DC9"/>
    <w:rsid w:val="00412F77"/>
    <w:rsid w:val="00466A22"/>
    <w:rsid w:val="004C2424"/>
    <w:rsid w:val="004D1D28"/>
    <w:rsid w:val="004E565F"/>
    <w:rsid w:val="004E5CF9"/>
    <w:rsid w:val="004F6117"/>
    <w:rsid w:val="00533ED4"/>
    <w:rsid w:val="00542879"/>
    <w:rsid w:val="00545ABF"/>
    <w:rsid w:val="00575ADE"/>
    <w:rsid w:val="00594878"/>
    <w:rsid w:val="005D1066"/>
    <w:rsid w:val="0064487A"/>
    <w:rsid w:val="006525AC"/>
    <w:rsid w:val="006534B2"/>
    <w:rsid w:val="00664009"/>
    <w:rsid w:val="00690CE2"/>
    <w:rsid w:val="00692B90"/>
    <w:rsid w:val="006C51E6"/>
    <w:rsid w:val="006D2552"/>
    <w:rsid w:val="006E6714"/>
    <w:rsid w:val="006E700D"/>
    <w:rsid w:val="0076310F"/>
    <w:rsid w:val="00771397"/>
    <w:rsid w:val="00772ACD"/>
    <w:rsid w:val="0077674F"/>
    <w:rsid w:val="00780D50"/>
    <w:rsid w:val="00792E7D"/>
    <w:rsid w:val="00796B47"/>
    <w:rsid w:val="00797444"/>
    <w:rsid w:val="0079757A"/>
    <w:rsid w:val="007B0BBC"/>
    <w:rsid w:val="007D6906"/>
    <w:rsid w:val="007E0B83"/>
    <w:rsid w:val="007F74A8"/>
    <w:rsid w:val="007F7D95"/>
    <w:rsid w:val="00804BAF"/>
    <w:rsid w:val="008069C4"/>
    <w:rsid w:val="00847BDB"/>
    <w:rsid w:val="008C316D"/>
    <w:rsid w:val="008D233F"/>
    <w:rsid w:val="008F0EDF"/>
    <w:rsid w:val="009218FA"/>
    <w:rsid w:val="00940815"/>
    <w:rsid w:val="00963649"/>
    <w:rsid w:val="0099080E"/>
    <w:rsid w:val="009921C1"/>
    <w:rsid w:val="009943A3"/>
    <w:rsid w:val="00997C10"/>
    <w:rsid w:val="009A40A2"/>
    <w:rsid w:val="009D2C3A"/>
    <w:rsid w:val="009F5698"/>
    <w:rsid w:val="00A05F58"/>
    <w:rsid w:val="00A13C2F"/>
    <w:rsid w:val="00A21200"/>
    <w:rsid w:val="00A54ECD"/>
    <w:rsid w:val="00A5702F"/>
    <w:rsid w:val="00A855AF"/>
    <w:rsid w:val="00A85EB1"/>
    <w:rsid w:val="00A90F04"/>
    <w:rsid w:val="00AB0053"/>
    <w:rsid w:val="00AB40E2"/>
    <w:rsid w:val="00B04167"/>
    <w:rsid w:val="00B062D9"/>
    <w:rsid w:val="00B15F5E"/>
    <w:rsid w:val="00B16D2C"/>
    <w:rsid w:val="00B521B4"/>
    <w:rsid w:val="00B712A2"/>
    <w:rsid w:val="00C05C9D"/>
    <w:rsid w:val="00C7594C"/>
    <w:rsid w:val="00C92720"/>
    <w:rsid w:val="00CA4EC6"/>
    <w:rsid w:val="00D11AEC"/>
    <w:rsid w:val="00D21D9B"/>
    <w:rsid w:val="00D665E9"/>
    <w:rsid w:val="00D93E74"/>
    <w:rsid w:val="00DB38D6"/>
    <w:rsid w:val="00DD04CA"/>
    <w:rsid w:val="00DD10E9"/>
    <w:rsid w:val="00DE2353"/>
    <w:rsid w:val="00DE60FC"/>
    <w:rsid w:val="00E05B72"/>
    <w:rsid w:val="00E30DBF"/>
    <w:rsid w:val="00E50FAD"/>
    <w:rsid w:val="00E556CA"/>
    <w:rsid w:val="00E912FF"/>
    <w:rsid w:val="00E92E71"/>
    <w:rsid w:val="00E979BD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8</cp:revision>
  <cp:lastPrinted>2018-03-21T16:09:00Z</cp:lastPrinted>
  <dcterms:created xsi:type="dcterms:W3CDTF">2019-06-21T18:31:00Z</dcterms:created>
  <dcterms:modified xsi:type="dcterms:W3CDTF">2019-06-21T18:35:00Z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