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PROCESSO LICITATÓRIO Nº </w:t>
      </w:r>
      <w:r w:rsidR="00533ED4" w:rsidRPr="008D233F">
        <w:rPr>
          <w:rFonts w:ascii="Verdana" w:hAnsi="Verdana"/>
          <w:b/>
          <w:sz w:val="21"/>
          <w:szCs w:val="21"/>
        </w:rPr>
        <w:t>041/2019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PREGÃO PRESENCIAL Nº </w:t>
      </w:r>
      <w:r w:rsidR="00533ED4" w:rsidRPr="008D233F">
        <w:rPr>
          <w:rFonts w:ascii="Verdana" w:hAnsi="Verdana"/>
          <w:b/>
          <w:sz w:val="21"/>
          <w:szCs w:val="21"/>
        </w:rPr>
        <w:t>024/2019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ATA DE REGISTRO DE PREÇOS Nº </w:t>
      </w:r>
      <w:r w:rsidR="009921C1" w:rsidRPr="008D233F">
        <w:rPr>
          <w:rFonts w:ascii="Verdana" w:hAnsi="Verdana"/>
          <w:sz w:val="21"/>
          <w:szCs w:val="21"/>
        </w:rPr>
        <w:t>019/2019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PROCESSO Nº </w:t>
      </w:r>
      <w:r w:rsidR="00533ED4" w:rsidRPr="008D233F">
        <w:rPr>
          <w:rFonts w:ascii="Verdana" w:hAnsi="Verdana"/>
          <w:sz w:val="21"/>
          <w:szCs w:val="21"/>
        </w:rPr>
        <w:t>041/2019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VALIDADE: 12 meses.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Aos </w:t>
      </w:r>
      <w:r w:rsidR="00575ADE" w:rsidRPr="008D233F">
        <w:rPr>
          <w:rFonts w:ascii="Verdana" w:hAnsi="Verdana" w:cs="Arial"/>
          <w:sz w:val="21"/>
          <w:szCs w:val="21"/>
        </w:rPr>
        <w:t>28 (vinte e oito)</w:t>
      </w:r>
      <w:r w:rsidRPr="008D233F">
        <w:rPr>
          <w:rFonts w:ascii="Verdana" w:hAnsi="Verdana" w:cs="Arial"/>
          <w:sz w:val="21"/>
          <w:szCs w:val="21"/>
        </w:rPr>
        <w:t xml:space="preserve"> dias do mês de </w:t>
      </w:r>
      <w:r w:rsidR="00575ADE" w:rsidRPr="008D233F">
        <w:rPr>
          <w:rFonts w:ascii="Verdana" w:hAnsi="Verdana" w:cs="Arial"/>
          <w:sz w:val="21"/>
          <w:szCs w:val="21"/>
        </w:rPr>
        <w:t xml:space="preserve">maio </w:t>
      </w:r>
      <w:r w:rsidRPr="008D233F">
        <w:rPr>
          <w:rFonts w:ascii="Verdana" w:hAnsi="Verdana" w:cs="Arial"/>
          <w:sz w:val="21"/>
          <w:szCs w:val="21"/>
        </w:rPr>
        <w:t xml:space="preserve">de </w:t>
      </w:r>
      <w:r w:rsidR="009921C1" w:rsidRPr="008D233F">
        <w:rPr>
          <w:rFonts w:ascii="Verdana" w:hAnsi="Verdana" w:cs="Arial"/>
          <w:sz w:val="21"/>
          <w:szCs w:val="21"/>
        </w:rPr>
        <w:t>2019</w:t>
      </w:r>
      <w:r w:rsidRPr="008D233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75ADE" w:rsidRPr="008D233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D233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75ADE"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575ADE" w:rsidRPr="008D233F">
        <w:rPr>
          <w:rFonts w:ascii="Verdana" w:hAnsi="Verdana" w:cs="Arial"/>
          <w:sz w:val="21"/>
          <w:szCs w:val="21"/>
        </w:rPr>
        <w:t>Filgueiras</w:t>
      </w:r>
      <w:proofErr w:type="spellEnd"/>
      <w:r w:rsidRPr="008D233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533ED4" w:rsidRPr="008D233F">
        <w:rPr>
          <w:rFonts w:ascii="Verdana" w:hAnsi="Verdana" w:cs="Arial"/>
          <w:sz w:val="21"/>
          <w:szCs w:val="21"/>
        </w:rPr>
        <w:t>041/2019</w:t>
      </w:r>
      <w:r w:rsidRPr="008D233F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B04167">
        <w:rPr>
          <w:rFonts w:ascii="Verdana" w:hAnsi="Verdana" w:cs="Arial"/>
          <w:b/>
          <w:sz w:val="21"/>
          <w:szCs w:val="21"/>
        </w:rPr>
        <w:t>ALFALAGOS LTDA</w:t>
      </w:r>
      <w:r w:rsidRPr="008D233F">
        <w:rPr>
          <w:rFonts w:ascii="Verdana" w:hAnsi="Verdana" w:cs="Arial"/>
          <w:sz w:val="21"/>
          <w:szCs w:val="21"/>
        </w:rPr>
        <w:t xml:space="preserve">, localizado na </w:t>
      </w:r>
      <w:r w:rsidR="00B04167">
        <w:rPr>
          <w:rFonts w:ascii="Verdana" w:hAnsi="Verdana" w:cs="Arial"/>
          <w:sz w:val="21"/>
          <w:szCs w:val="21"/>
        </w:rPr>
        <w:t>Avenida Alberto Vieira Romão, nº. 1.700, Distrito Industrial, Alfenas/MG, CEP 37.135.516</w:t>
      </w:r>
      <w:r w:rsidR="00EB4170">
        <w:rPr>
          <w:rFonts w:ascii="Verdana" w:hAnsi="Verdana" w:cs="Arial"/>
          <w:sz w:val="21"/>
          <w:szCs w:val="21"/>
        </w:rPr>
        <w:t>,</w:t>
      </w:r>
      <w:r w:rsidRPr="008D233F">
        <w:rPr>
          <w:rFonts w:ascii="Verdana" w:hAnsi="Verdana" w:cs="Arial"/>
          <w:sz w:val="21"/>
          <w:szCs w:val="21"/>
        </w:rPr>
        <w:t xml:space="preserve"> cujo CNPJ é </w:t>
      </w:r>
      <w:r w:rsidR="00CA4EC6">
        <w:rPr>
          <w:rFonts w:ascii="Verdana" w:hAnsi="Verdana" w:cs="Arial"/>
          <w:sz w:val="21"/>
          <w:szCs w:val="21"/>
        </w:rPr>
        <w:t>0</w:t>
      </w:r>
      <w:r w:rsidR="00B04167">
        <w:rPr>
          <w:rFonts w:ascii="Verdana" w:hAnsi="Verdana" w:cs="Arial"/>
          <w:sz w:val="21"/>
          <w:szCs w:val="21"/>
        </w:rPr>
        <w:t>05.194.502/0001-14</w:t>
      </w:r>
      <w:r w:rsidRPr="008D233F">
        <w:rPr>
          <w:rFonts w:ascii="Verdana" w:hAnsi="Verdana" w:cs="Arial"/>
          <w:sz w:val="21"/>
          <w:szCs w:val="21"/>
        </w:rPr>
        <w:t xml:space="preserve">, neste ato representado por </w:t>
      </w:r>
      <w:r w:rsidR="00B04167">
        <w:rPr>
          <w:rFonts w:ascii="Verdana" w:hAnsi="Verdana" w:cs="Arial"/>
          <w:sz w:val="21"/>
          <w:szCs w:val="21"/>
        </w:rPr>
        <w:t>Natanael Pereira</w:t>
      </w:r>
      <w:r w:rsidR="00EB4170">
        <w:rPr>
          <w:rFonts w:ascii="Verdana" w:hAnsi="Verdana" w:cs="Arial"/>
          <w:sz w:val="21"/>
          <w:szCs w:val="21"/>
        </w:rPr>
        <w:t xml:space="preserve">, inscrito no CPF/MF sob o nº. </w:t>
      </w:r>
      <w:r w:rsidR="00B04167">
        <w:rPr>
          <w:rFonts w:ascii="Verdana" w:hAnsi="Verdana" w:cs="Arial"/>
          <w:sz w:val="21"/>
          <w:szCs w:val="21"/>
        </w:rPr>
        <w:t>502.690.546-34</w:t>
      </w:r>
      <w:r w:rsidRPr="008D233F">
        <w:rPr>
          <w:rFonts w:ascii="Verdana" w:hAnsi="Verdana" w:cs="Arial"/>
          <w:sz w:val="21"/>
          <w:szCs w:val="21"/>
        </w:rPr>
        <w:t>, conforme quadro abaixo:</w:t>
      </w:r>
    </w:p>
    <w:p w:rsidR="00F87482" w:rsidRPr="008D233F" w:rsidRDefault="00F87482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89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262"/>
        <w:gridCol w:w="992"/>
        <w:gridCol w:w="940"/>
        <w:gridCol w:w="1192"/>
        <w:gridCol w:w="845"/>
        <w:gridCol w:w="1075"/>
        <w:gridCol w:w="910"/>
        <w:gridCol w:w="1144"/>
      </w:tblGrid>
      <w:tr w:rsidR="00F87482" w:rsidRPr="00F87482" w:rsidTr="00F87482">
        <w:trPr>
          <w:trHeight w:val="21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DESCRIÇÃO DO ITEM</w:t>
            </w:r>
          </w:p>
        </w:tc>
        <w:tc>
          <w:tcPr>
            <w:tcW w:w="7098" w:type="dxa"/>
            <w:gridSpan w:val="7"/>
            <w:shd w:val="clear" w:color="auto" w:fill="auto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QUANTIDADE/ VALOR</w:t>
            </w:r>
          </w:p>
        </w:tc>
      </w:tr>
      <w:tr w:rsidR="00F87482" w:rsidRPr="00F87482" w:rsidTr="00F87482">
        <w:trPr>
          <w:trHeight w:val="210"/>
        </w:trPr>
        <w:tc>
          <w:tcPr>
            <w:tcW w:w="581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124" w:type="dxa"/>
            <w:gridSpan w:val="3"/>
            <w:shd w:val="clear" w:color="000000" w:fill="BFBFB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Órgão gerenciador</w:t>
            </w:r>
          </w:p>
        </w:tc>
        <w:tc>
          <w:tcPr>
            <w:tcW w:w="1920" w:type="dxa"/>
            <w:gridSpan w:val="2"/>
            <w:shd w:val="clear" w:color="000000" w:fill="BFBFB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Total a ser registrada e limite por adesão</w:t>
            </w:r>
          </w:p>
        </w:tc>
        <w:tc>
          <w:tcPr>
            <w:tcW w:w="2054" w:type="dxa"/>
            <w:gridSpan w:val="2"/>
            <w:shd w:val="clear" w:color="000000" w:fill="BFBFB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Limite decorrente de adesões</w:t>
            </w:r>
          </w:p>
        </w:tc>
      </w:tr>
      <w:tr w:rsidR="00F87482" w:rsidRPr="00F87482" w:rsidTr="00F87482">
        <w:trPr>
          <w:trHeight w:val="210"/>
        </w:trPr>
        <w:tc>
          <w:tcPr>
            <w:tcW w:w="581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shd w:val="clear" w:color="000000" w:fill="D9D9D9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Valor Unitário </w:t>
            </w:r>
          </w:p>
        </w:tc>
        <w:tc>
          <w:tcPr>
            <w:tcW w:w="1192" w:type="dxa"/>
            <w:vMerge w:val="restart"/>
            <w:shd w:val="clear" w:color="000000" w:fill="D9D9D9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45" w:type="dxa"/>
            <w:vMerge w:val="restart"/>
            <w:shd w:val="clear" w:color="000000" w:fill="D9D9D9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075" w:type="dxa"/>
            <w:vMerge w:val="restart"/>
            <w:shd w:val="clear" w:color="000000" w:fill="D9D9D9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910" w:type="dxa"/>
            <w:vMerge w:val="restart"/>
            <w:shd w:val="clear" w:color="000000" w:fill="D9D9D9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144" w:type="dxa"/>
            <w:vMerge w:val="restart"/>
            <w:shd w:val="clear" w:color="000000" w:fill="D9D9D9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</w:tr>
      <w:tr w:rsidR="00F87482" w:rsidRPr="00F87482" w:rsidTr="00F87482">
        <w:trPr>
          <w:trHeight w:val="210"/>
        </w:trPr>
        <w:tc>
          <w:tcPr>
            <w:tcW w:w="581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</w:tr>
      <w:tr w:rsidR="00F87482" w:rsidRPr="00F87482" w:rsidTr="00F87482">
        <w:trPr>
          <w:trHeight w:val="84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F87482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cloridrato</w:t>
            </w:r>
            <w:proofErr w:type="gramEnd"/>
            <w:r w:rsidRPr="00F87482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de </w:t>
            </w:r>
            <w:proofErr w:type="spellStart"/>
            <w:r w:rsidRPr="00F87482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metoclopramida</w:t>
            </w:r>
            <w:proofErr w:type="spellEnd"/>
            <w:r w:rsidRPr="00F87482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solução injetável 5 mg/</w:t>
            </w:r>
            <w:proofErr w:type="spellStart"/>
            <w:r w:rsidRPr="00F87482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mL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20.000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0,338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6.760,000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6.760,00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33.800,00</w:t>
            </w:r>
          </w:p>
        </w:tc>
      </w:tr>
      <w:tr w:rsidR="00F87482" w:rsidRPr="00F87482" w:rsidTr="00F87482">
        <w:trPr>
          <w:trHeight w:val="84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kollagenase</w:t>
            </w:r>
            <w:proofErr w:type="spellEnd"/>
            <w:proofErr w:type="gramEnd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+ </w:t>
            </w:r>
            <w:proofErr w:type="spellStart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clorafenicol</w:t>
            </w:r>
            <w:proofErr w:type="spellEnd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pomada  50 gramas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26,790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8.037,000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8.037,00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1500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40.185,00</w:t>
            </w:r>
          </w:p>
        </w:tc>
      </w:tr>
      <w:tr w:rsidR="00F87482" w:rsidRPr="00F87482" w:rsidTr="00F87482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F87482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sulfato</w:t>
            </w:r>
            <w:proofErr w:type="gramEnd"/>
            <w:r w:rsidRPr="00F87482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de magnésio solução injetável 10 %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0,316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94,800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94,80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1500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474,00</w:t>
            </w:r>
          </w:p>
        </w:tc>
      </w:tr>
      <w:tr w:rsidR="00F87482" w:rsidRPr="00F87482" w:rsidTr="00F87482">
        <w:trPr>
          <w:trHeight w:val="4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CARBONATO DE LÍTIO 300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0,269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4.035,000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4.035,00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75000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20.175,00</w:t>
            </w:r>
          </w:p>
        </w:tc>
      </w:tr>
      <w:tr w:rsidR="00F87482" w:rsidRPr="00F87482" w:rsidTr="00F87482">
        <w:trPr>
          <w:trHeight w:val="4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CLOMIPRAMINA 75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1,089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5.445,000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5.445,00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27.225,00</w:t>
            </w:r>
          </w:p>
        </w:tc>
      </w:tr>
      <w:tr w:rsidR="00F87482" w:rsidRPr="00F87482" w:rsidTr="00F87482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DIAZEPAM COMPRIMIDO 10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0,073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7.300,000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7.300,00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36.500,00</w:t>
            </w:r>
          </w:p>
        </w:tc>
      </w:tr>
      <w:tr w:rsidR="00F87482" w:rsidRPr="00F87482" w:rsidTr="00F87482">
        <w:trPr>
          <w:trHeight w:val="4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163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DICLOFENACO DE SÓDIO 50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0,028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1.400,000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250000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7.000,00</w:t>
            </w:r>
          </w:p>
        </w:tc>
      </w:tr>
      <w:tr w:rsidR="00F87482" w:rsidRPr="00F87482" w:rsidTr="00F87482">
        <w:trPr>
          <w:trHeight w:val="84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lastRenderedPageBreak/>
              <w:t>165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DINITRATO DE ISOSSORBIDA COMPRIMIDO SUBLINGUAL 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0,246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1.230,000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1.230,00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6.150,00</w:t>
            </w:r>
          </w:p>
        </w:tc>
      </w:tr>
      <w:tr w:rsidR="00F87482" w:rsidRPr="00F87482" w:rsidTr="00F87482">
        <w:trPr>
          <w:trHeight w:val="4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ECITALOPRAM 20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0,440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6.600,000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6.600,00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75000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33.000,00</w:t>
            </w:r>
          </w:p>
        </w:tc>
      </w:tr>
      <w:tr w:rsidR="00F87482" w:rsidRPr="00F87482" w:rsidTr="00F87482">
        <w:trPr>
          <w:trHeight w:val="105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ETINILESTRADIOL </w:t>
            </w:r>
            <w:proofErr w:type="gramStart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+  LEVONORGESTREL</w:t>
            </w:r>
            <w:proofErr w:type="gramEnd"/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COMPRIMIDO 0,03 MG + 0,15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63.000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0,034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2.142,000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63000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2.142,00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315000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10.710,00</w:t>
            </w:r>
          </w:p>
        </w:tc>
      </w:tr>
      <w:tr w:rsidR="00F87482" w:rsidRPr="00F87482" w:rsidTr="00F87482">
        <w:trPr>
          <w:trHeight w:val="4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GABAPENTINA 400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0,440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1.320,000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1.320,00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6.600,00</w:t>
            </w:r>
          </w:p>
        </w:tc>
      </w:tr>
      <w:tr w:rsidR="00F87482" w:rsidRPr="00F87482" w:rsidTr="00F87482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LORATADINA COMPRIMIDO 10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0,060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1.800,000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1.800,00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150000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9.000,00</w:t>
            </w:r>
          </w:p>
        </w:tc>
      </w:tr>
      <w:tr w:rsidR="00F87482" w:rsidRPr="00F87482" w:rsidTr="00F87482">
        <w:trPr>
          <w:trHeight w:val="4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LOSARTANA POTÁSSICA 50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200.000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0,054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10.800,000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10.800,00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54.000,00</w:t>
            </w:r>
          </w:p>
        </w:tc>
      </w:tr>
      <w:tr w:rsidR="00F87482" w:rsidRPr="00F87482" w:rsidTr="00F87482">
        <w:trPr>
          <w:trHeight w:val="105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MEDROXIPROGESTERONA, ACETATO 150 MG SUSPENSÃO INJETÁVEL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11,458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5.729,000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5.729,00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28.645,00</w:t>
            </w:r>
          </w:p>
        </w:tc>
      </w:tr>
      <w:tr w:rsidR="00F87482" w:rsidRPr="00F87482" w:rsidTr="00F87482">
        <w:trPr>
          <w:trHeight w:val="4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OMEPRAZOL CÁPSULA 20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200.000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0,052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10.400,000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10.400,00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52.000,00</w:t>
            </w:r>
          </w:p>
        </w:tc>
      </w:tr>
      <w:tr w:rsidR="00F87482" w:rsidRPr="00F87482" w:rsidTr="00F87482">
        <w:trPr>
          <w:trHeight w:val="105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PARACETAMOL SOLUÇÃO ORAL 200 MG/ML - FRASCO COM 15 ML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0,717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7.170,000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7.170,00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35.850,00</w:t>
            </w:r>
          </w:p>
        </w:tc>
      </w:tr>
      <w:tr w:rsidR="00F87482" w:rsidRPr="00F87482" w:rsidTr="00F87482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RISPERIDONA 1 MG - FRASCO COM 30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10,490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1.049,000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1.049,00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F87482" w:rsidRPr="00F87482" w:rsidRDefault="00F87482" w:rsidP="00F8748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F87482">
              <w:rPr>
                <w:rFonts w:ascii="Verdana" w:hAnsi="Verdana" w:cs="Times New Roman"/>
                <w:color w:val="000000"/>
                <w:sz w:val="15"/>
                <w:szCs w:val="15"/>
              </w:rPr>
              <w:t>5.245,00</w:t>
            </w:r>
          </w:p>
        </w:tc>
      </w:tr>
    </w:tbl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8D233F">
        <w:rPr>
          <w:rFonts w:ascii="Verdana" w:hAnsi="Verdana"/>
          <w:sz w:val="21"/>
          <w:szCs w:val="21"/>
        </w:rPr>
        <w:t>do quadro acima</w:t>
      </w:r>
      <w:r w:rsidRPr="008D233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8D233F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</w:t>
      </w:r>
      <w:r w:rsidRPr="008D233F">
        <w:rPr>
          <w:rFonts w:ascii="Verdana" w:hAnsi="Verdana"/>
          <w:sz w:val="21"/>
          <w:szCs w:val="21"/>
        </w:rPr>
        <w:lastRenderedPageBreak/>
        <w:t>a presente Ata de Registro de Preços será, cancelada, garantidos, às suas detentoras, o contraditório e a ampla defesa.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03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04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8D233F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8D233F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05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06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D233F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8D233F">
        <w:rPr>
          <w:rFonts w:ascii="Verdana" w:hAnsi="Verdana"/>
          <w:sz w:val="21"/>
          <w:szCs w:val="21"/>
        </w:rPr>
        <w:t>definitivo pela unidade requisitante</w:t>
      </w:r>
      <w:r w:rsidRPr="008D233F">
        <w:rPr>
          <w:rFonts w:ascii="Verdana" w:hAnsi="Verdana"/>
          <w:bCs/>
          <w:sz w:val="21"/>
          <w:szCs w:val="21"/>
        </w:rPr>
        <w:t xml:space="preserve"> do objeto, </w:t>
      </w:r>
      <w:r w:rsidRPr="008D233F">
        <w:rPr>
          <w:rFonts w:ascii="Verdana" w:hAnsi="Verdana"/>
          <w:sz w:val="21"/>
          <w:szCs w:val="21"/>
        </w:rPr>
        <w:t>mediante apresentação da Nota Fiscal.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I= (TX/100)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07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8D233F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8D233F">
        <w:rPr>
          <w:rFonts w:ascii="Verdana" w:hAnsi="Verdana"/>
          <w:sz w:val="21"/>
          <w:szCs w:val="21"/>
        </w:rPr>
        <w:t xml:space="preserve"> úteis</w:t>
      </w:r>
      <w:r w:rsidRPr="008D233F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IV </w:t>
      </w:r>
      <w:r w:rsidRPr="008D233F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 </w:t>
      </w:r>
      <w:r w:rsidRPr="008D233F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</w:t>
      </w:r>
      <w:r w:rsidRPr="008D233F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 </w:t>
      </w:r>
      <w:r w:rsidRPr="008D233F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1" w:name="__DdeLink__10159_1208364177"/>
      <w:bookmarkEnd w:id="1"/>
      <w:r w:rsidRPr="008D233F">
        <w:rPr>
          <w:rFonts w:ascii="Verdana" w:hAnsi="Verdana"/>
          <w:sz w:val="21"/>
          <w:szCs w:val="21"/>
        </w:rPr>
        <w:t>IX</w:t>
      </w:r>
      <w:r w:rsidR="009F5698" w:rsidRPr="008D233F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08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8D233F">
        <w:rPr>
          <w:rFonts w:ascii="Verdana" w:hAnsi="Verdana"/>
          <w:sz w:val="21"/>
          <w:szCs w:val="21"/>
        </w:rPr>
        <w:t>á</w:t>
      </w:r>
      <w:proofErr w:type="spellEnd"/>
      <w:r w:rsidRPr="008D233F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A) Advertência;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8D233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D233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8D233F">
        <w:rPr>
          <w:rFonts w:ascii="Verdana" w:eastAsia="Symbol" w:hAnsi="Verdana" w:cs="Arial"/>
          <w:sz w:val="21"/>
          <w:szCs w:val="21"/>
        </w:rPr>
        <w:t>do Município</w:t>
      </w:r>
      <w:r w:rsidRPr="008D233F">
        <w:rPr>
          <w:rFonts w:ascii="Verdana" w:hAnsi="Verdana" w:cs="Arial"/>
          <w:sz w:val="21"/>
          <w:szCs w:val="21"/>
        </w:rPr>
        <w:t>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III - </w:t>
      </w:r>
      <w:r w:rsidRPr="008D233F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2" w:name="__DdeLink__4400_2835009959"/>
      <w:r w:rsidRPr="008D233F">
        <w:rPr>
          <w:rFonts w:ascii="Verdana" w:hAnsi="Verdana"/>
          <w:sz w:val="21"/>
          <w:szCs w:val="21"/>
        </w:rPr>
        <w:t>Interpretativa</w:t>
      </w:r>
      <w:bookmarkEnd w:id="2"/>
      <w:r w:rsidRPr="008D233F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8D233F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8D233F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09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10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8D233F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8D233F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lastRenderedPageBreak/>
        <w:t>Pela Administração, quando: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B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C </w:t>
      </w:r>
      <w:r w:rsidRPr="008D233F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D </w:t>
      </w:r>
      <w:r w:rsidRPr="008D233F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8D233F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 </w:t>
      </w:r>
      <w:r w:rsidRPr="008D233F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F </w:t>
      </w:r>
      <w:r w:rsidRPr="008D233F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G </w:t>
      </w:r>
      <w:r w:rsidRPr="008D233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8D233F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b/>
          <w:sz w:val="21"/>
          <w:szCs w:val="21"/>
        </w:rPr>
        <w:t>Pelas detentoras, quando</w:t>
      </w:r>
      <w:r w:rsidRPr="008D233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8D233F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8D233F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</w:t>
      </w:r>
      <w:r w:rsidRPr="008D233F">
        <w:rPr>
          <w:rFonts w:ascii="Verdana" w:hAnsi="Verdana"/>
          <w:b/>
          <w:sz w:val="21"/>
          <w:szCs w:val="21"/>
        </w:rPr>
        <w:t xml:space="preserve"> </w:t>
      </w:r>
      <w:r w:rsidRPr="008D233F">
        <w:rPr>
          <w:rFonts w:ascii="Verdana" w:hAnsi="Verdana"/>
          <w:b/>
          <w:sz w:val="21"/>
          <w:szCs w:val="21"/>
        </w:rPr>
        <w:noBreakHyphen/>
      </w:r>
      <w:r w:rsidRPr="008D233F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8D233F" w:rsidRDefault="006E6714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>14.2. Fica eleito o foro desta Comarca de Pitangui/MG para dirimir quaisquer questões decorrentes da utilização da presente Ata.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center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Papagaios, </w:t>
      </w:r>
      <w:r w:rsidR="00143111" w:rsidRPr="008D233F">
        <w:rPr>
          <w:rFonts w:ascii="Verdana" w:hAnsi="Verdana"/>
          <w:sz w:val="21"/>
          <w:szCs w:val="21"/>
        </w:rPr>
        <w:t>28 de maio de 2019</w:t>
      </w: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D233F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4C242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Alfalagos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="004C2424">
        <w:rPr>
          <w:rFonts w:ascii="Verdana" w:hAnsi="Verdana" w:cs="Arial"/>
          <w:sz w:val="21"/>
          <w:szCs w:val="21"/>
        </w:rPr>
        <w:t>05.194.502/0001-14</w:t>
      </w: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6E6714" w:rsidRPr="008D23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0C" w:rsidRDefault="00E43C0C">
      <w:r>
        <w:separator/>
      </w:r>
    </w:p>
  </w:endnote>
  <w:endnote w:type="continuationSeparator" w:id="0">
    <w:p w:rsidR="00E43C0C" w:rsidRDefault="00E4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CC" w:rsidRDefault="003248CC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0C" w:rsidRDefault="00E43C0C">
      <w:r>
        <w:separator/>
      </w:r>
    </w:p>
  </w:footnote>
  <w:footnote w:type="continuationSeparator" w:id="0">
    <w:p w:rsidR="00E43C0C" w:rsidRDefault="00E4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3248C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248CC" w:rsidRDefault="003248C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248C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248CC" w:rsidRDefault="003248CC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06827"/>
    <w:rsid w:val="000828FC"/>
    <w:rsid w:val="00116B3D"/>
    <w:rsid w:val="001369A1"/>
    <w:rsid w:val="00143111"/>
    <w:rsid w:val="00183DE2"/>
    <w:rsid w:val="001F7F03"/>
    <w:rsid w:val="00237F98"/>
    <w:rsid w:val="002756C7"/>
    <w:rsid w:val="002A3520"/>
    <w:rsid w:val="002B591A"/>
    <w:rsid w:val="002F1CD4"/>
    <w:rsid w:val="00303269"/>
    <w:rsid w:val="003248CC"/>
    <w:rsid w:val="003773F4"/>
    <w:rsid w:val="003778D9"/>
    <w:rsid w:val="003866D5"/>
    <w:rsid w:val="003A1C28"/>
    <w:rsid w:val="003C34B1"/>
    <w:rsid w:val="00466A22"/>
    <w:rsid w:val="004C2424"/>
    <w:rsid w:val="004D1D28"/>
    <w:rsid w:val="004E565F"/>
    <w:rsid w:val="004E5CF9"/>
    <w:rsid w:val="004F6117"/>
    <w:rsid w:val="00533ED4"/>
    <w:rsid w:val="00542879"/>
    <w:rsid w:val="00575ADE"/>
    <w:rsid w:val="005D1066"/>
    <w:rsid w:val="006534B2"/>
    <w:rsid w:val="00692B90"/>
    <w:rsid w:val="006D2552"/>
    <w:rsid w:val="006E6714"/>
    <w:rsid w:val="00772ACD"/>
    <w:rsid w:val="00792E7D"/>
    <w:rsid w:val="00796B47"/>
    <w:rsid w:val="00797444"/>
    <w:rsid w:val="007E0B83"/>
    <w:rsid w:val="007F7D95"/>
    <w:rsid w:val="008069C4"/>
    <w:rsid w:val="00847BDB"/>
    <w:rsid w:val="008D233F"/>
    <w:rsid w:val="009218FA"/>
    <w:rsid w:val="00963649"/>
    <w:rsid w:val="0099080E"/>
    <w:rsid w:val="009921C1"/>
    <w:rsid w:val="009943A3"/>
    <w:rsid w:val="00997C10"/>
    <w:rsid w:val="009D2C3A"/>
    <w:rsid w:val="009F5698"/>
    <w:rsid w:val="00A21200"/>
    <w:rsid w:val="00A54ECD"/>
    <w:rsid w:val="00A5702F"/>
    <w:rsid w:val="00A90F04"/>
    <w:rsid w:val="00B04167"/>
    <w:rsid w:val="00B15F5E"/>
    <w:rsid w:val="00B712A2"/>
    <w:rsid w:val="00CA4EC6"/>
    <w:rsid w:val="00DB38D6"/>
    <w:rsid w:val="00DD04CA"/>
    <w:rsid w:val="00DE2353"/>
    <w:rsid w:val="00E05B72"/>
    <w:rsid w:val="00E43C0C"/>
    <w:rsid w:val="00E50FAD"/>
    <w:rsid w:val="00E556CA"/>
    <w:rsid w:val="00E912FF"/>
    <w:rsid w:val="00EA2ED0"/>
    <w:rsid w:val="00EB4170"/>
    <w:rsid w:val="00EB4408"/>
    <w:rsid w:val="00F2331D"/>
    <w:rsid w:val="00F52FCA"/>
    <w:rsid w:val="00F6410D"/>
    <w:rsid w:val="00F87482"/>
    <w:rsid w:val="00FB31B9"/>
    <w:rsid w:val="00FB755C"/>
    <w:rsid w:val="00FC62DB"/>
    <w:rsid w:val="00FE33C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2425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10</cp:revision>
  <cp:lastPrinted>2018-03-21T16:09:00Z</cp:lastPrinted>
  <dcterms:created xsi:type="dcterms:W3CDTF">2019-06-21T17:38:00Z</dcterms:created>
  <dcterms:modified xsi:type="dcterms:W3CDTF">2019-06-21T17:44:00Z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