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AD06" w14:textId="7736B718" w:rsidR="00D76057" w:rsidRPr="00DB20D6" w:rsidRDefault="00D76057" w:rsidP="00D76057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PROCESSO LICITATÓRIO Nº </w:t>
      </w:r>
      <w:r w:rsidR="005D4EAA" w:rsidRPr="00DB20D6">
        <w:rPr>
          <w:rFonts w:ascii="Cambria" w:hAnsi="Cambria"/>
          <w:b/>
          <w:szCs w:val="24"/>
        </w:rPr>
        <w:t>050/2022</w:t>
      </w:r>
    </w:p>
    <w:p w14:paraId="632EAD07" w14:textId="35256C2A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PREGÃO PRESENCIAL Nº </w:t>
      </w:r>
      <w:r w:rsidR="005D4EAA" w:rsidRPr="00DB20D6">
        <w:rPr>
          <w:rFonts w:ascii="Cambria" w:hAnsi="Cambria"/>
          <w:b/>
          <w:szCs w:val="24"/>
        </w:rPr>
        <w:t>027/2022</w:t>
      </w:r>
    </w:p>
    <w:p w14:paraId="632EAD0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0D" w14:textId="00BF9530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ATA DE REGISTRO DE PREÇOS Nº </w:t>
      </w:r>
      <w:r w:rsidR="00E660C0" w:rsidRPr="00DB20D6">
        <w:rPr>
          <w:rFonts w:ascii="Cambria" w:hAnsi="Cambria"/>
          <w:szCs w:val="24"/>
        </w:rPr>
        <w:t>021/2022</w:t>
      </w:r>
      <w:r w:rsidRPr="00DB20D6">
        <w:rPr>
          <w:rFonts w:ascii="Cambria" w:hAnsi="Cambria"/>
          <w:szCs w:val="24"/>
        </w:rPr>
        <w:t>.</w:t>
      </w:r>
    </w:p>
    <w:p w14:paraId="632EAD0E" w14:textId="37F42A01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>.</w:t>
      </w:r>
    </w:p>
    <w:p w14:paraId="632EAD0F" w14:textId="6B2940E6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PROCESSO Nº </w:t>
      </w:r>
      <w:r w:rsidR="005D4EAA" w:rsidRPr="00DB20D6">
        <w:rPr>
          <w:rFonts w:ascii="Cambria" w:hAnsi="Cambria"/>
          <w:szCs w:val="24"/>
        </w:rPr>
        <w:t>050/2022</w:t>
      </w:r>
      <w:r w:rsidRPr="00DB20D6">
        <w:rPr>
          <w:rFonts w:ascii="Cambria" w:hAnsi="Cambria"/>
          <w:szCs w:val="24"/>
        </w:rPr>
        <w:t>.</w:t>
      </w:r>
    </w:p>
    <w:p w14:paraId="632EAD1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1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2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>VALIDADE: 12 meses.</w:t>
      </w:r>
    </w:p>
    <w:p w14:paraId="632EAD1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5" w14:textId="05C1EF9E" w:rsidR="00D76057" w:rsidRPr="00DB20D6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DB20D6">
        <w:rPr>
          <w:rFonts w:ascii="Cambria" w:hAnsi="Cambria" w:cs="Arial"/>
        </w:rPr>
        <w:t xml:space="preserve">Aos </w:t>
      </w:r>
      <w:r w:rsidR="00D6305F" w:rsidRPr="00DB20D6">
        <w:rPr>
          <w:rFonts w:ascii="Cambria" w:hAnsi="Cambria" w:cs="Arial"/>
        </w:rPr>
        <w:t xml:space="preserve">01 (um) </w:t>
      </w:r>
      <w:r w:rsidRPr="00DB20D6">
        <w:rPr>
          <w:rFonts w:ascii="Cambria" w:hAnsi="Cambria" w:cs="Arial"/>
        </w:rPr>
        <w:t xml:space="preserve">dias do mês de </w:t>
      </w:r>
      <w:r w:rsidR="00D104D6" w:rsidRPr="00DB20D6">
        <w:rPr>
          <w:rFonts w:ascii="Cambria" w:hAnsi="Cambria" w:cs="Arial"/>
        </w:rPr>
        <w:t>junho</w:t>
      </w:r>
      <w:r w:rsidRPr="00DB20D6">
        <w:rPr>
          <w:rFonts w:ascii="Cambria" w:hAnsi="Cambria" w:cs="Arial"/>
        </w:rPr>
        <w:t xml:space="preserve"> de </w:t>
      </w:r>
      <w:r w:rsidR="00993524" w:rsidRPr="00DB20D6">
        <w:rPr>
          <w:rFonts w:ascii="Cambria" w:hAnsi="Cambria" w:cs="Arial"/>
        </w:rPr>
        <w:t>2022</w:t>
      </w:r>
      <w:r w:rsidRPr="00DB20D6">
        <w:rPr>
          <w:rFonts w:ascii="Cambria" w:hAnsi="Cambria" w:cs="Arial"/>
        </w:rPr>
        <w:t xml:space="preserve">, na sala de licitações, na sede da Prefeitura Municipal, situada na </w:t>
      </w:r>
      <w:r w:rsidR="00560DA0" w:rsidRPr="00DB20D6">
        <w:rPr>
          <w:rFonts w:ascii="Cambria" w:hAnsi="Cambria" w:cs="Arial"/>
        </w:rPr>
        <w:t>Avenida Francisco Valadares da Fonseca, nº. 250, bairro Vasco Lopes, Papagaios/MG, CEP 35.669-000</w:t>
      </w:r>
      <w:r w:rsidRPr="00DB20D6">
        <w:rPr>
          <w:rFonts w:ascii="Cambria" w:hAnsi="Cambria" w:cs="Arial"/>
        </w:rPr>
        <w:t xml:space="preserve">, o Exmo. Sr. Prefeito Municipal, Sr. </w:t>
      </w:r>
      <w:r w:rsidR="00E23B3E" w:rsidRPr="00DB20D6">
        <w:rPr>
          <w:rFonts w:ascii="Cambria" w:hAnsi="Cambria" w:cs="Arial"/>
        </w:rPr>
        <w:t>Mário Reis Filgueiras</w:t>
      </w:r>
      <w:r w:rsidRPr="00DB20D6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D4EAA" w:rsidRPr="00DB20D6">
        <w:rPr>
          <w:rFonts w:ascii="Cambria" w:hAnsi="Cambria" w:cs="Arial"/>
        </w:rPr>
        <w:t>027/2022</w:t>
      </w:r>
      <w:r w:rsidRPr="00DB20D6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5D4EAA" w:rsidRPr="00DB20D6">
        <w:rPr>
          <w:rFonts w:ascii="Cambria" w:hAnsi="Cambria" w:cs="Arial"/>
        </w:rPr>
        <w:t>050/2022</w:t>
      </w:r>
      <w:r w:rsidRPr="00DB20D6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5E6400">
        <w:rPr>
          <w:rFonts w:ascii="Cambria" w:hAnsi="Cambria" w:cs="Arial"/>
          <w:b/>
          <w:bCs/>
        </w:rPr>
        <w:t>COMERCIAL AVAN LTDA</w:t>
      </w:r>
      <w:r w:rsidRPr="00DB20D6">
        <w:rPr>
          <w:rFonts w:ascii="Cambria" w:hAnsi="Cambria" w:cs="Arial"/>
        </w:rPr>
        <w:t xml:space="preserve">, localizado na </w:t>
      </w:r>
      <w:r w:rsidR="00A015CA">
        <w:rPr>
          <w:rFonts w:ascii="Cambria" w:hAnsi="Cambria" w:cs="Arial"/>
        </w:rPr>
        <w:t>Rua Toledo, nº. 365, bairro Oeste, Belo Horizonte/MG, CEP 30.532-090</w:t>
      </w:r>
      <w:r w:rsidRPr="00DB20D6">
        <w:rPr>
          <w:rFonts w:ascii="Cambria" w:hAnsi="Cambria" w:cs="Arial"/>
        </w:rPr>
        <w:t xml:space="preserve">, cujo CNPJ é </w:t>
      </w:r>
      <w:r w:rsidR="00090A76">
        <w:rPr>
          <w:rFonts w:ascii="Cambria" w:hAnsi="Cambria" w:cs="Arial"/>
        </w:rPr>
        <w:t>39.877.684/0001-40</w:t>
      </w:r>
      <w:r w:rsidRPr="00DB20D6">
        <w:rPr>
          <w:rFonts w:ascii="Cambria" w:hAnsi="Cambria" w:cs="Arial"/>
        </w:rPr>
        <w:t xml:space="preserve">, neste ato representado por </w:t>
      </w:r>
      <w:r w:rsidR="00090A76">
        <w:rPr>
          <w:rFonts w:ascii="Cambria" w:hAnsi="Cambria" w:cs="Arial"/>
        </w:rPr>
        <w:t>Poliana Teixeira Andrade</w:t>
      </w:r>
      <w:r w:rsidR="004D4C11">
        <w:rPr>
          <w:rFonts w:ascii="Cambria" w:hAnsi="Cambria" w:cs="Arial"/>
        </w:rPr>
        <w:t xml:space="preserve">, inscrito no CPF/MF sob o nº. </w:t>
      </w:r>
      <w:r w:rsidR="009E21E6">
        <w:rPr>
          <w:rFonts w:ascii="Cambria" w:hAnsi="Cambria" w:cs="Arial"/>
        </w:rPr>
        <w:t>075.349.936-36</w:t>
      </w:r>
      <w:r w:rsidRPr="00DB20D6">
        <w:rPr>
          <w:rFonts w:ascii="Cambria" w:hAnsi="Cambria" w:cs="Arial"/>
        </w:rPr>
        <w:t>, conforme quadro abaixo:</w:t>
      </w:r>
    </w:p>
    <w:p w14:paraId="632EAD16" w14:textId="77777777" w:rsidR="00D76057" w:rsidRPr="00DB20D6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973"/>
        <w:gridCol w:w="858"/>
        <w:gridCol w:w="924"/>
        <w:gridCol w:w="957"/>
        <w:gridCol w:w="885"/>
        <w:gridCol w:w="952"/>
        <w:gridCol w:w="885"/>
        <w:gridCol w:w="1025"/>
      </w:tblGrid>
      <w:tr w:rsidR="00BF3D5A" w:rsidRPr="002A2847" w14:paraId="0F5E7485" w14:textId="77777777" w:rsidTr="00BF3D5A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F8F6" w14:textId="77777777" w:rsidR="00BF3D5A" w:rsidRPr="002A2847" w:rsidRDefault="00BF3D5A" w:rsidP="002A28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7DC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B60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BF3D5A" w:rsidRPr="002A2847" w14:paraId="0542A60F" w14:textId="77777777" w:rsidTr="00BF3D5A">
        <w:trPr>
          <w:trHeight w:val="2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C27F" w14:textId="77777777" w:rsidR="00BF3D5A" w:rsidRPr="002A2847" w:rsidRDefault="00BF3D5A" w:rsidP="002A28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541C" w14:textId="77777777" w:rsidR="00BF3D5A" w:rsidRPr="002A2847" w:rsidRDefault="00BF3D5A" w:rsidP="002A28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B98513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32E7A5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ED7231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BF3D5A" w:rsidRPr="00BF3D5A" w14:paraId="3393F853" w14:textId="77777777" w:rsidTr="00BF3D5A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4246" w14:textId="77777777" w:rsidR="00BF3D5A" w:rsidRPr="002A2847" w:rsidRDefault="00BF3D5A" w:rsidP="002A28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5371" w14:textId="77777777" w:rsidR="00BF3D5A" w:rsidRPr="002A2847" w:rsidRDefault="00BF3D5A" w:rsidP="002A28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DF1FD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Qtde Estimada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94BE0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0CFD4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1D0CF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4520B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C365B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E0A0A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BF3D5A" w:rsidRPr="00BF3D5A" w14:paraId="19B8195D" w14:textId="77777777" w:rsidTr="00BF3D5A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680F" w14:textId="77777777" w:rsidR="00BF3D5A" w:rsidRPr="002A2847" w:rsidRDefault="00BF3D5A" w:rsidP="002A28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F477" w14:textId="77777777" w:rsidR="00BF3D5A" w:rsidRPr="002A2847" w:rsidRDefault="00BF3D5A" w:rsidP="002A28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8472" w14:textId="77777777" w:rsidR="00BF3D5A" w:rsidRPr="002A2847" w:rsidRDefault="00BF3D5A" w:rsidP="002A28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F623" w14:textId="77777777" w:rsidR="00BF3D5A" w:rsidRPr="002A2847" w:rsidRDefault="00BF3D5A" w:rsidP="002A28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5B3" w14:textId="77777777" w:rsidR="00BF3D5A" w:rsidRPr="002A2847" w:rsidRDefault="00BF3D5A" w:rsidP="002A28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345C" w14:textId="77777777" w:rsidR="00BF3D5A" w:rsidRPr="002A2847" w:rsidRDefault="00BF3D5A" w:rsidP="002A28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66F8" w14:textId="77777777" w:rsidR="00BF3D5A" w:rsidRPr="002A2847" w:rsidRDefault="00BF3D5A" w:rsidP="002A28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FEC0" w14:textId="77777777" w:rsidR="00BF3D5A" w:rsidRPr="002A2847" w:rsidRDefault="00BF3D5A" w:rsidP="002A28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F09B" w14:textId="77777777" w:rsidR="00BF3D5A" w:rsidRPr="002A2847" w:rsidRDefault="00BF3D5A" w:rsidP="002A28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BF3D5A" w:rsidRPr="00BF3D5A" w14:paraId="0C415EB8" w14:textId="77777777" w:rsidTr="00BF3D5A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BD5B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B38" w14:textId="77777777" w:rsidR="00BF3D5A" w:rsidRPr="002A2847" w:rsidRDefault="00BF3D5A" w:rsidP="002A2847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condicao de operacao com  liquido a recalcar agua bruta; vazao 2.628,00 L/h na caixa; altura manometrica total 112mca; nivel estatico 10,75 metros; nivel Dinamico 61,39 metros; diametro do poco 6"; diametro do edutor 1 1/2" PEAD; profundidade do poco120 metros profundidade de instalacao 64 metros. com motor de inducao do conjunto submerso com ABNT NBR 15626-2:2008 ABNT NBR 15626-1:2008; N° de fases 02; tensao 220v </w:t>
            </w: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frequencia 60 HZ; tipo de partida direta; n° de terminais de enrolamento Acessiveis 03; potencia nominal  1,5cv; regime de funcionamento continuo cabo de alimentacao tripolar. (Monofasico)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D10C" w14:textId="77777777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7AB2" w14:textId="6441F918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2.272,66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E77E" w14:textId="17FC0458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45.453,20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84BF" w14:textId="77777777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6129" w14:textId="2C24356A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45.453,20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5090" w14:textId="77777777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8903" w14:textId="23E7B4B3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227.266,00</w:t>
            </w:r>
          </w:p>
        </w:tc>
      </w:tr>
      <w:tr w:rsidR="00BF3D5A" w:rsidRPr="00BF3D5A" w14:paraId="1E6E0E66" w14:textId="77777777" w:rsidTr="00BF3D5A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77A2" w14:textId="77777777" w:rsidR="00BF3D5A" w:rsidRPr="002A2847" w:rsidRDefault="00BF3D5A" w:rsidP="002A28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3EE" w14:textId="77777777" w:rsidR="00BF3D5A" w:rsidRPr="002A2847" w:rsidRDefault="00BF3D5A" w:rsidP="002A2847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Conjunto de motobomba submerso; com condicao de operacao com  liquido a recalcar agua bruta; vazao 4.284,00 l/h na caixa; altura manometrica total 100mca; nivel estatico 5,75 metros; nivel Dinamico 49,36 metros; diametro do poço 06" ; diametro do edutor 1/1" mm PEAD; profundidade do poco 102 metros profundidade de instalacao 52 metros. com motor de inducao do conjunto submerso com ABNT NBR 15626-2:2008 ABNT NBR 15626-1:2008; N° de fases 02; tensao 220v frequência 60 HZ; tipo de partida direta; n° de terminais de enrolamento Acessiveis 03; potencia nominal  2,5cv; regime de funcionamento continuo cabo de alimentacao tripolar.(Monofasico)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8BF" w14:textId="77777777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B7D2" w14:textId="66D93E5F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2.807,29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C45C" w14:textId="641EBA38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56.145,80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EBCB" w14:textId="77777777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9394" w14:textId="2E81FDEE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56.145,80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5D86" w14:textId="77777777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9F78" w14:textId="6EBE6DEB" w:rsidR="00BF3D5A" w:rsidRPr="002A2847" w:rsidRDefault="00BF3D5A" w:rsidP="00BF3D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2847">
              <w:rPr>
                <w:rFonts w:ascii="Cambria" w:hAnsi="Cambria" w:cs="Calibri"/>
                <w:color w:val="000000"/>
                <w:sz w:val="18"/>
                <w:szCs w:val="18"/>
              </w:rPr>
              <w:t>280.729,00</w:t>
            </w:r>
          </w:p>
        </w:tc>
      </w:tr>
    </w:tbl>
    <w:p w14:paraId="632EAD39" w14:textId="77777777" w:rsidR="00D76057" w:rsidRPr="00DB20D6" w:rsidRDefault="00D76057" w:rsidP="00D7605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632EAD3A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01 </w:t>
      </w:r>
      <w:r w:rsidRPr="00DB20D6">
        <w:rPr>
          <w:rFonts w:ascii="Cambria" w:hAnsi="Cambria"/>
          <w:b/>
          <w:szCs w:val="24"/>
        </w:rPr>
        <w:noBreakHyphen/>
        <w:t xml:space="preserve"> DO OBJETO:</w:t>
      </w:r>
    </w:p>
    <w:p w14:paraId="632EAD3B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3C" w14:textId="77777777" w:rsidR="00D76057" w:rsidRPr="00DB20D6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DB20D6">
        <w:rPr>
          <w:rFonts w:ascii="Cambria" w:hAnsi="Cambria"/>
        </w:rPr>
        <w:t xml:space="preserve">I </w:t>
      </w:r>
      <w:r w:rsidRPr="00DB20D6">
        <w:rPr>
          <w:rFonts w:ascii="Cambria" w:hAnsi="Cambria"/>
        </w:rPr>
        <w:noBreakHyphen/>
        <w:t xml:space="preserve"> Os objetos do fornecimento são os produtos constantes </w:t>
      </w:r>
      <w:r w:rsidR="00E32356" w:rsidRPr="00DB20D6">
        <w:rPr>
          <w:rFonts w:ascii="Cambria" w:hAnsi="Cambria"/>
        </w:rPr>
        <w:t>do quadro acima</w:t>
      </w:r>
      <w:r w:rsidRPr="00DB20D6">
        <w:rPr>
          <w:rFonts w:ascii="Cambria" w:hAnsi="Cambria"/>
        </w:rPr>
        <w:t>, em que são discriminados, a apresentação de cada produto, o consumo estimado e o prazo para entrega.</w:t>
      </w:r>
    </w:p>
    <w:p w14:paraId="632EAD3D" w14:textId="77777777" w:rsidR="00D76057" w:rsidRPr="00DB20D6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3E" w14:textId="77777777" w:rsidR="00D76057" w:rsidRPr="00DB20D6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02 </w:t>
      </w:r>
      <w:r w:rsidRPr="00DB20D6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632EAD3F" w14:textId="77777777" w:rsidR="00D76057" w:rsidRPr="00DB20D6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4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632EAD41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2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lastRenderedPageBreak/>
        <w:t xml:space="preserve">II </w:t>
      </w:r>
      <w:r w:rsidRPr="00DB20D6">
        <w:rPr>
          <w:rFonts w:ascii="Cambria" w:hAnsi="Cambria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32EAD4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III </w:t>
      </w:r>
      <w:r w:rsidRPr="00DB20D6">
        <w:rPr>
          <w:rFonts w:ascii="Cambria" w:hAnsi="Cambria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32EAD45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6" w14:textId="77777777" w:rsidR="00D76057" w:rsidRPr="00DB20D6" w:rsidRDefault="00D76057" w:rsidP="00D76057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03 </w:t>
      </w:r>
      <w:r w:rsidRPr="00DB20D6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632EAD4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4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632EAD4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A" w14:textId="77777777" w:rsidR="00D76057" w:rsidRPr="00DB20D6" w:rsidRDefault="00D76057" w:rsidP="00D76057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04 </w:t>
      </w:r>
      <w:r w:rsidRPr="00DB20D6">
        <w:rPr>
          <w:rFonts w:ascii="Cambria" w:hAnsi="Cambria"/>
          <w:b/>
          <w:szCs w:val="24"/>
        </w:rPr>
        <w:noBreakHyphen/>
        <w:t xml:space="preserve"> DO PREÇO</w:t>
      </w:r>
    </w:p>
    <w:p w14:paraId="632EAD4B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C" w14:textId="789B19A3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>.</w:t>
      </w:r>
    </w:p>
    <w:p w14:paraId="632EAD4D" w14:textId="77777777" w:rsidR="00D76057" w:rsidRPr="00DB20D6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4E" w14:textId="5D4AB535" w:rsidR="00D76057" w:rsidRPr="00DB20D6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>, que integra o presente instrumento de compromisso.</w:t>
      </w:r>
    </w:p>
    <w:p w14:paraId="632EAD4F" w14:textId="77777777" w:rsidR="00D76057" w:rsidRPr="00DB20D6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50" w14:textId="7B6DB65A" w:rsidR="00D76057" w:rsidRPr="00DB20D6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III </w:t>
      </w:r>
      <w:r w:rsidRPr="00DB20D6">
        <w:rPr>
          <w:rFonts w:ascii="Cambria" w:hAnsi="Cambria"/>
          <w:szCs w:val="24"/>
        </w:rPr>
        <w:noBreakHyphen/>
        <w:t xml:space="preserve"> Em cada fornecimento, o preço unitário a ser pago será o constante das propostas apresentadas, no 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632EAD51" w14:textId="77777777" w:rsidR="00D76057" w:rsidRPr="00DB20D6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52" w14:textId="77777777" w:rsidR="00D76057" w:rsidRPr="00DB20D6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05 </w:t>
      </w:r>
      <w:r w:rsidRPr="00DB20D6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632EAD5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632EAD55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6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632EAD5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8" w14:textId="77777777" w:rsidR="00D76057" w:rsidRPr="00DB20D6" w:rsidRDefault="00D76057" w:rsidP="00D76057">
      <w:pPr>
        <w:tabs>
          <w:tab w:val="right" w:pos="322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06 </w:t>
      </w:r>
      <w:r w:rsidRPr="00DB20D6">
        <w:rPr>
          <w:rFonts w:ascii="Cambria" w:hAnsi="Cambria"/>
          <w:b/>
          <w:szCs w:val="24"/>
        </w:rPr>
        <w:noBreakHyphen/>
        <w:t xml:space="preserve"> DO PAGAMENTO</w:t>
      </w:r>
    </w:p>
    <w:p w14:paraId="632EAD5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A" w14:textId="77777777" w:rsidR="00D76057" w:rsidRPr="00DB20D6" w:rsidRDefault="00D76057" w:rsidP="00D76057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DB20D6">
        <w:rPr>
          <w:rFonts w:ascii="Cambria" w:hAnsi="Cambria"/>
          <w:bCs/>
          <w:szCs w:val="24"/>
        </w:rPr>
        <w:t xml:space="preserve">em até 30 (trinta) dias após recebimento </w:t>
      </w:r>
      <w:r w:rsidRPr="00DB20D6">
        <w:rPr>
          <w:rFonts w:ascii="Cambria" w:hAnsi="Cambria"/>
          <w:szCs w:val="24"/>
        </w:rPr>
        <w:t>definitivo pela unidade requisitante</w:t>
      </w:r>
      <w:r w:rsidRPr="00DB20D6">
        <w:rPr>
          <w:rFonts w:ascii="Cambria" w:hAnsi="Cambria"/>
          <w:bCs/>
          <w:szCs w:val="24"/>
        </w:rPr>
        <w:t xml:space="preserve"> do objeto, </w:t>
      </w:r>
      <w:r w:rsidRPr="00DB20D6">
        <w:rPr>
          <w:rFonts w:ascii="Cambria" w:hAnsi="Cambria"/>
          <w:szCs w:val="24"/>
        </w:rPr>
        <w:t>mediante apresentação da Nota Fiscal.</w:t>
      </w:r>
    </w:p>
    <w:p w14:paraId="632EAD5B" w14:textId="77777777" w:rsidR="00D76057" w:rsidRPr="00DB20D6" w:rsidRDefault="00D76057" w:rsidP="00D76057">
      <w:pPr>
        <w:jc w:val="both"/>
        <w:rPr>
          <w:rFonts w:ascii="Cambria" w:hAnsi="Cambria"/>
          <w:bCs/>
          <w:szCs w:val="24"/>
        </w:rPr>
      </w:pPr>
    </w:p>
    <w:p w14:paraId="2D2A07DB" w14:textId="77777777" w:rsidR="00CB024D" w:rsidRPr="00DB20D6" w:rsidRDefault="00D76057" w:rsidP="00CB024D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lastRenderedPageBreak/>
        <w:t xml:space="preserve">II </w:t>
      </w:r>
      <w:r w:rsidRPr="00DB20D6">
        <w:rPr>
          <w:rFonts w:ascii="Cambria" w:hAnsi="Cambria"/>
          <w:szCs w:val="24"/>
        </w:rPr>
        <w:noBreakHyphen/>
        <w:t xml:space="preserve"> </w:t>
      </w:r>
      <w:r w:rsidR="00CB024D" w:rsidRPr="00DB20D6">
        <w:rPr>
          <w:rFonts w:ascii="Cambria" w:hAnsi="Cambria" w:cs="Arial"/>
          <w:szCs w:val="24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07C247D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EM = N x VP x I</w:t>
      </w:r>
    </w:p>
    <w:p w14:paraId="7590B7A2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onde:</w:t>
      </w:r>
    </w:p>
    <w:p w14:paraId="4BE1B517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EM =</w:t>
      </w:r>
      <w:r w:rsidRPr="00DB20D6">
        <w:rPr>
          <w:rFonts w:ascii="Cambria" w:hAnsi="Cambria"/>
          <w:szCs w:val="24"/>
        </w:rPr>
        <w:t xml:space="preserve"> Encargos moratórios;</w:t>
      </w:r>
    </w:p>
    <w:p w14:paraId="2CED1B48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VP =</w:t>
      </w:r>
      <w:r w:rsidRPr="00DB20D6">
        <w:rPr>
          <w:rFonts w:ascii="Cambria" w:hAnsi="Cambria"/>
          <w:szCs w:val="24"/>
        </w:rPr>
        <w:t xml:space="preserve"> Valor da parcela em atraso;</w:t>
      </w:r>
    </w:p>
    <w:p w14:paraId="1F3C7086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N =</w:t>
      </w:r>
      <w:r w:rsidRPr="00DB20D6">
        <w:rPr>
          <w:rFonts w:ascii="Cambria" w:hAnsi="Cambria"/>
          <w:szCs w:val="24"/>
        </w:rPr>
        <w:t xml:space="preserve"> Número de dias entre a data prevista para o pagamento (vencimento) e a do efetivo pagamento;</w:t>
      </w:r>
    </w:p>
    <w:p w14:paraId="6CB59693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I =</w:t>
      </w:r>
      <w:r w:rsidRPr="00DB20D6">
        <w:rPr>
          <w:rFonts w:ascii="Cambria" w:hAnsi="Cambria"/>
          <w:szCs w:val="24"/>
        </w:rPr>
        <w:t xml:space="preserve"> Índice de compensação financeira, assim apurado:</w:t>
      </w:r>
    </w:p>
    <w:p w14:paraId="0D5E73B3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</w:p>
    <w:p w14:paraId="7B895BE3" w14:textId="77777777" w:rsidR="00CB024D" w:rsidRPr="00DB20D6" w:rsidRDefault="00CB024D" w:rsidP="00CB024D">
      <w:pPr>
        <w:jc w:val="center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I = (</w:t>
      </w:r>
      <w:r w:rsidRPr="00DB20D6">
        <w:rPr>
          <w:rFonts w:ascii="Cambria" w:hAnsi="Cambria"/>
          <w:b/>
          <w:bCs/>
          <w:szCs w:val="24"/>
          <w:u w:val="single"/>
        </w:rPr>
        <w:t>TX / 100</w:t>
      </w:r>
      <w:r w:rsidRPr="00DB20D6">
        <w:rPr>
          <w:rFonts w:ascii="Cambria" w:hAnsi="Cambria"/>
          <w:b/>
          <w:bCs/>
          <w:szCs w:val="24"/>
        </w:rPr>
        <w:t>)</w:t>
      </w:r>
    </w:p>
    <w:p w14:paraId="5F9706B4" w14:textId="77777777" w:rsidR="00CB024D" w:rsidRPr="00DB20D6" w:rsidRDefault="00CB024D" w:rsidP="00CB024D">
      <w:pPr>
        <w:jc w:val="center"/>
        <w:rPr>
          <w:rFonts w:ascii="Cambria" w:hAnsi="Cambria"/>
          <w:szCs w:val="24"/>
        </w:rPr>
      </w:pPr>
      <w:r w:rsidRPr="00DB20D6">
        <w:rPr>
          <w:rFonts w:ascii="Cambria" w:eastAsia="Arial" w:hAnsi="Cambria"/>
          <w:b/>
          <w:bCs/>
          <w:szCs w:val="24"/>
        </w:rPr>
        <w:t xml:space="preserve">    </w:t>
      </w:r>
      <w:r w:rsidRPr="00DB20D6">
        <w:rPr>
          <w:rFonts w:ascii="Cambria" w:hAnsi="Cambria"/>
          <w:b/>
          <w:bCs/>
          <w:szCs w:val="24"/>
        </w:rPr>
        <w:t>30</w:t>
      </w:r>
    </w:p>
    <w:p w14:paraId="632EAD6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Cs/>
          <w:szCs w:val="24"/>
        </w:rPr>
      </w:pPr>
    </w:p>
    <w:p w14:paraId="632EAD65" w14:textId="77777777" w:rsidR="00D76057" w:rsidRPr="00DB20D6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07 </w:t>
      </w:r>
      <w:r w:rsidRPr="00DB20D6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632EAD66" w14:textId="77777777" w:rsidR="00D76057" w:rsidRPr="00DB20D6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6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632EAD6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632EAD6A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B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III </w:t>
      </w:r>
      <w:r w:rsidRPr="00DB20D6">
        <w:rPr>
          <w:rFonts w:ascii="Cambria" w:hAnsi="Cambria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632EAD6C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D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IV </w:t>
      </w:r>
      <w:r w:rsidRPr="00DB20D6">
        <w:rPr>
          <w:rFonts w:ascii="Cambria" w:hAnsi="Cambria"/>
          <w:szCs w:val="24"/>
        </w:rPr>
        <w:noBreakHyphen/>
        <w:t xml:space="preserve"> Os produtos deverão ser entregues acompanhados da Nota Fiscal ou Nota Fiscal Fatura, conforme o caso.</w:t>
      </w:r>
    </w:p>
    <w:p w14:paraId="632EAD6E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F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V </w:t>
      </w:r>
      <w:r w:rsidRPr="00DB20D6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32EAD7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1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VI </w:t>
      </w:r>
      <w:r w:rsidRPr="00DB20D6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32EAD72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lastRenderedPageBreak/>
        <w:t xml:space="preserve">VII </w:t>
      </w:r>
      <w:r w:rsidRPr="00DB20D6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632EAD7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5" w14:textId="77777777" w:rsidR="00D76057" w:rsidRPr="00DB20D6" w:rsidRDefault="00D76057" w:rsidP="00D76057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08 </w:t>
      </w:r>
      <w:r w:rsidRPr="00DB20D6">
        <w:rPr>
          <w:rFonts w:ascii="Cambria" w:hAnsi="Cambria"/>
          <w:b/>
          <w:szCs w:val="24"/>
        </w:rPr>
        <w:noBreakHyphen/>
        <w:t xml:space="preserve"> DAS PENALIDADES</w:t>
      </w:r>
    </w:p>
    <w:p w14:paraId="632EAD76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632EAD7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14:paraId="632EAD7A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B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III </w:t>
      </w:r>
      <w:r w:rsidRPr="00DB20D6">
        <w:rPr>
          <w:rFonts w:ascii="Cambria" w:hAnsi="Cambria"/>
          <w:szCs w:val="24"/>
        </w:rPr>
        <w:noBreakHyphen/>
        <w:t xml:space="preserve"> Pela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14:paraId="632EAD7C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D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IV </w:t>
      </w:r>
      <w:r w:rsidRPr="00DB20D6">
        <w:rPr>
          <w:rFonts w:ascii="Cambria" w:hAnsi="Cambria"/>
          <w:szCs w:val="24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14:paraId="632EAD7E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F" w14:textId="77777777" w:rsidR="00D76057" w:rsidRPr="00DB20D6" w:rsidRDefault="00D76057" w:rsidP="00D76057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09 </w:t>
      </w:r>
      <w:r w:rsidRPr="00DB20D6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632EAD8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1" w14:textId="12CF914A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632EAD82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632EAD8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5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10 </w:t>
      </w:r>
      <w:r w:rsidRPr="00DB20D6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632EAD86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632EAD8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lastRenderedPageBreak/>
        <w:t xml:space="preserve">II </w:t>
      </w:r>
      <w:r w:rsidRPr="00DB20D6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32EAD8A" w14:textId="77777777" w:rsidR="00D76057" w:rsidRPr="00DB20D6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8B" w14:textId="77777777" w:rsidR="00D76057" w:rsidRPr="00DB20D6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11 </w:t>
      </w:r>
      <w:r w:rsidRPr="00DB20D6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632EAD8C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D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632EAD8E" w14:textId="77777777" w:rsidR="00D76057" w:rsidRPr="00DB20D6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8F" w14:textId="77777777" w:rsidR="00D76057" w:rsidRPr="00DB20D6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>Pela Administração, quando:</w:t>
      </w:r>
    </w:p>
    <w:p w14:paraId="632EAD90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1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A </w:t>
      </w:r>
      <w:r w:rsidRPr="00DB20D6">
        <w:rPr>
          <w:rFonts w:ascii="Cambria" w:hAnsi="Cambria"/>
          <w:szCs w:val="24"/>
        </w:rPr>
        <w:noBreakHyphen/>
        <w:t xml:space="preserve"> a detentora não cumprir as obrigações constantes desta Ata de Registro de Preços;</w:t>
      </w:r>
    </w:p>
    <w:p w14:paraId="632EAD92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3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B </w:t>
      </w:r>
      <w:r w:rsidRPr="00DB20D6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32EAD94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5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C </w:t>
      </w:r>
      <w:r w:rsidRPr="00DB20D6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32EAD96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7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D </w:t>
      </w:r>
      <w:r w:rsidRPr="00DB20D6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32EAD98" w14:textId="77777777" w:rsidR="00D76057" w:rsidRPr="00DB20D6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9" w14:textId="77777777" w:rsidR="00D76057" w:rsidRPr="00DB20D6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E </w:t>
      </w:r>
      <w:r w:rsidRPr="00DB20D6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632EAD9A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B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F </w:t>
      </w:r>
      <w:r w:rsidRPr="00DB20D6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632EAD9C" w14:textId="77777777" w:rsidR="00D76057" w:rsidRPr="00DB20D6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9D" w14:textId="77777777" w:rsidR="00D76057" w:rsidRPr="00DB20D6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DB20D6">
        <w:rPr>
          <w:rFonts w:ascii="Cambria" w:hAnsi="Cambria"/>
        </w:rPr>
        <w:t xml:space="preserve">G </w:t>
      </w:r>
      <w:r w:rsidRPr="00DB20D6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32EAD9E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632EAD9F" w14:textId="77777777" w:rsidR="00D76057" w:rsidRPr="00DB20D6" w:rsidRDefault="00D76057" w:rsidP="00D76057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632EADA0" w14:textId="77777777" w:rsidR="00D76057" w:rsidRPr="00DB20D6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DB20D6">
        <w:rPr>
          <w:rFonts w:ascii="Cambria" w:hAnsi="Cambria" w:cs="Arial"/>
          <w:b/>
        </w:rPr>
        <w:t>Pelas detentoras, quando</w:t>
      </w:r>
      <w:r w:rsidRPr="00DB20D6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632EADA1" w14:textId="77777777" w:rsidR="00D76057" w:rsidRPr="00DB20D6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632EADA2" w14:textId="77777777" w:rsidR="00D76057" w:rsidRPr="00DB20D6" w:rsidRDefault="00D76057" w:rsidP="00D76057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A </w:t>
      </w:r>
      <w:r w:rsidRPr="00DB20D6">
        <w:rPr>
          <w:rFonts w:ascii="Cambria" w:hAnsi="Cambria"/>
          <w:szCs w:val="24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14:paraId="632EADA3" w14:textId="77777777" w:rsidR="00D76057" w:rsidRPr="00DB20D6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A4" w14:textId="77777777" w:rsidR="00D76057" w:rsidRPr="00DB20D6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12 </w:t>
      </w:r>
      <w:r w:rsidRPr="00DB20D6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632EADA5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6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>I</w:t>
      </w:r>
      <w:r w:rsidRPr="00DB20D6">
        <w:rPr>
          <w:rFonts w:ascii="Cambria" w:hAnsi="Cambria"/>
          <w:b/>
          <w:szCs w:val="24"/>
        </w:rPr>
        <w:t xml:space="preserve"> </w:t>
      </w:r>
      <w:r w:rsidRPr="00DB20D6">
        <w:rPr>
          <w:rFonts w:ascii="Cambria" w:hAnsi="Cambria"/>
          <w:b/>
          <w:szCs w:val="24"/>
        </w:rPr>
        <w:noBreakHyphen/>
      </w:r>
      <w:r w:rsidRPr="00DB20D6">
        <w:rPr>
          <w:rFonts w:ascii="Cambria" w:hAnsi="Cambria"/>
          <w:szCs w:val="24"/>
        </w:rPr>
        <w:t xml:space="preserve"> As aquisições do objeto da presente Ata de Registro de Preços serão autorizadas, caso a caso, pelo Secretario requisitante.</w:t>
      </w:r>
    </w:p>
    <w:p w14:paraId="632EADA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color w:val="000000"/>
          <w:szCs w:val="24"/>
        </w:rPr>
        <w:t xml:space="preserve">13- </w:t>
      </w:r>
      <w:r w:rsidRPr="00DB20D6">
        <w:rPr>
          <w:rFonts w:ascii="Cambria" w:hAnsi="Cambria"/>
          <w:b/>
          <w:szCs w:val="24"/>
        </w:rPr>
        <w:t>DAS DISPOSIÇÕES FINAIS</w:t>
      </w:r>
    </w:p>
    <w:p w14:paraId="632EADA9" w14:textId="77777777" w:rsidR="00D76057" w:rsidRPr="00DB20D6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632EADAA" w14:textId="139479E5" w:rsidR="00D76057" w:rsidRPr="00DB20D6" w:rsidRDefault="008C6FA5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 – </w:t>
      </w:r>
      <w:r w:rsidR="00D76057" w:rsidRPr="00DB20D6">
        <w:rPr>
          <w:rFonts w:ascii="Cambria" w:hAnsi="Cambria" w:cs="Arial"/>
        </w:rPr>
        <w:t xml:space="preserve">Integram esta Ata, o edital do Pregão nº </w:t>
      </w:r>
      <w:r w:rsidR="005D4EAA" w:rsidRPr="00DB20D6">
        <w:rPr>
          <w:rFonts w:ascii="Cambria" w:hAnsi="Cambria" w:cs="Arial"/>
        </w:rPr>
        <w:t>027/2022</w:t>
      </w:r>
      <w:r w:rsidR="00D76057" w:rsidRPr="00DB20D6">
        <w:rPr>
          <w:rFonts w:ascii="Cambria" w:hAnsi="Cambria" w:cs="Arial"/>
        </w:rPr>
        <w:t xml:space="preserve"> e as propostas das empresas classificadas no certame supranumerado.</w:t>
      </w:r>
    </w:p>
    <w:p w14:paraId="632EADAB" w14:textId="77777777" w:rsidR="00D76057" w:rsidRPr="00DB20D6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C" w14:textId="2DFCE6DF" w:rsidR="00D76057" w:rsidRPr="00DB20D6" w:rsidRDefault="005614AB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>I</w:t>
      </w:r>
      <w:r>
        <w:rPr>
          <w:rFonts w:ascii="Cambria" w:hAnsi="Cambria"/>
        </w:rPr>
        <w:t>I</w:t>
      </w:r>
      <w:r>
        <w:rPr>
          <w:rFonts w:ascii="Cambria" w:hAnsi="Cambria"/>
        </w:rPr>
        <w:t xml:space="preserve"> – </w:t>
      </w:r>
      <w:r w:rsidR="00D76057" w:rsidRPr="00DB20D6">
        <w:rPr>
          <w:rFonts w:ascii="Cambria" w:hAnsi="Cambria"/>
          <w:szCs w:val="24"/>
        </w:rPr>
        <w:t>Fica eleito o foro desta Comarca de Pitangui/MG para dirimir quaisquer questões decorrentes da utilização da presente Ata.</w:t>
      </w:r>
    </w:p>
    <w:p w14:paraId="632EADAD" w14:textId="77777777" w:rsidR="00D76057" w:rsidRPr="00DB20D6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E" w14:textId="2EAD6D0C" w:rsidR="00D76057" w:rsidRPr="00DB20D6" w:rsidRDefault="005614AB" w:rsidP="00D76057">
      <w:pPr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>II</w:t>
      </w:r>
      <w:r>
        <w:rPr>
          <w:rFonts w:ascii="Cambria" w:hAnsi="Cambria"/>
        </w:rPr>
        <w:t xml:space="preserve">I – </w:t>
      </w:r>
      <w:r w:rsidR="00D76057" w:rsidRPr="00DB20D6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632EADAF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2" w14:textId="255CE65A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Papagaios, </w:t>
      </w:r>
      <w:r w:rsidR="00B2240D" w:rsidRPr="00DB20D6">
        <w:rPr>
          <w:rFonts w:ascii="Cambria" w:hAnsi="Cambria"/>
          <w:szCs w:val="24"/>
        </w:rPr>
        <w:t>01 de junho de 2022</w:t>
      </w:r>
      <w:r w:rsidR="0028749E" w:rsidRPr="00DB20D6">
        <w:rPr>
          <w:rFonts w:ascii="Cambria" w:hAnsi="Cambria"/>
          <w:szCs w:val="24"/>
        </w:rPr>
        <w:t>.</w:t>
      </w:r>
    </w:p>
    <w:p w14:paraId="632EADB3" w14:textId="77777777" w:rsidR="00D76057" w:rsidRPr="00DB20D6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4" w14:textId="77777777" w:rsidR="00D76057" w:rsidRPr="00DB20D6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8" w14:textId="77777777" w:rsidR="00D76057" w:rsidRPr="00DB20D6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DB20D6">
        <w:rPr>
          <w:rFonts w:ascii="Cambria" w:hAnsi="Cambria" w:cs="Arial"/>
          <w:b/>
          <w:bCs/>
          <w:i/>
          <w:iCs/>
        </w:rPr>
        <w:t>Mário Reis Filgueiras</w:t>
      </w:r>
    </w:p>
    <w:p w14:paraId="0DF0324F" w14:textId="77777777" w:rsidR="00570D4C" w:rsidRPr="00DB20D6" w:rsidRDefault="00570D4C" w:rsidP="00570D4C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B20D6">
        <w:rPr>
          <w:rFonts w:ascii="Cambria" w:hAnsi="Cambria" w:cs="Arial"/>
        </w:rPr>
        <w:t xml:space="preserve">Município de Papagaios/MG  </w:t>
      </w:r>
    </w:p>
    <w:p w14:paraId="632EADB9" w14:textId="77777777" w:rsidR="00D76057" w:rsidRPr="00DB20D6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A" w14:textId="77777777" w:rsidR="00D76057" w:rsidRPr="00DB20D6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B" w14:textId="77777777" w:rsidR="00D76057" w:rsidRPr="00DB20D6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C" w14:textId="7E851CA5" w:rsidR="00D76057" w:rsidRPr="004F346F" w:rsidRDefault="001C6011" w:rsidP="00D7605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Comercial Avan Ltda</w:t>
      </w:r>
    </w:p>
    <w:p w14:paraId="632EADBD" w14:textId="505DDA72" w:rsidR="00D76057" w:rsidRPr="00DB20D6" w:rsidRDefault="00F46BE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780902">
        <w:rPr>
          <w:rFonts w:ascii="Cambria" w:hAnsi="Cambria" w:cs="Arial"/>
        </w:rPr>
        <w:t>39.877.684/0001-40</w:t>
      </w:r>
    </w:p>
    <w:sectPr w:rsidR="00D76057" w:rsidRPr="00DB20D6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AE1C" w14:textId="77777777" w:rsidR="00143CAA" w:rsidRDefault="00143CAA">
      <w:r>
        <w:separator/>
      </w:r>
    </w:p>
  </w:endnote>
  <w:endnote w:type="continuationSeparator" w:id="0">
    <w:p w14:paraId="632EAE1D" w14:textId="77777777" w:rsidR="00143CAA" w:rsidRDefault="0014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AE25" w14:textId="7B518451" w:rsidR="00143CAA" w:rsidRDefault="00143CAA" w:rsidP="00B13B61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AE1A" w14:textId="77777777" w:rsidR="00143CAA" w:rsidRDefault="00143CAA">
      <w:r>
        <w:separator/>
      </w:r>
    </w:p>
  </w:footnote>
  <w:footnote w:type="continuationSeparator" w:id="0">
    <w:p w14:paraId="632EAE1B" w14:textId="77777777" w:rsidR="00143CAA" w:rsidRDefault="0014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143CAA" w14:paraId="632EAE20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2EAE1E" w14:textId="77777777" w:rsidR="00143CAA" w:rsidRDefault="00143CA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32EAE26" wp14:editId="632EAE27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32EAE1F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43CAA" w14:paraId="632EAE23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1" w14:textId="77777777" w:rsidR="00143CAA" w:rsidRDefault="00143CA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2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32EAE24" w14:textId="53D13F7C" w:rsidR="00143CAA" w:rsidRDefault="00143C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1524758">
    <w:abstractNumId w:val="6"/>
  </w:num>
  <w:num w:numId="2" w16cid:durableId="1519126463">
    <w:abstractNumId w:val="2"/>
  </w:num>
  <w:num w:numId="3" w16cid:durableId="1521167810">
    <w:abstractNumId w:val="3"/>
  </w:num>
  <w:num w:numId="4" w16cid:durableId="1145968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3585346">
    <w:abstractNumId w:val="5"/>
  </w:num>
  <w:num w:numId="6" w16cid:durableId="570388280">
    <w:abstractNumId w:val="0"/>
  </w:num>
  <w:num w:numId="7" w16cid:durableId="147679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20E4"/>
    <w:rsid w:val="0002060E"/>
    <w:rsid w:val="00026B1B"/>
    <w:rsid w:val="00036B26"/>
    <w:rsid w:val="000430CA"/>
    <w:rsid w:val="0005089C"/>
    <w:rsid w:val="0005239B"/>
    <w:rsid w:val="0005728F"/>
    <w:rsid w:val="00071E54"/>
    <w:rsid w:val="000770C1"/>
    <w:rsid w:val="00083DD1"/>
    <w:rsid w:val="0008701C"/>
    <w:rsid w:val="00090A76"/>
    <w:rsid w:val="00095633"/>
    <w:rsid w:val="00097A2B"/>
    <w:rsid w:val="000F17F2"/>
    <w:rsid w:val="0010144B"/>
    <w:rsid w:val="00121FF5"/>
    <w:rsid w:val="0013764B"/>
    <w:rsid w:val="0014167A"/>
    <w:rsid w:val="00143CAA"/>
    <w:rsid w:val="00147A1B"/>
    <w:rsid w:val="00195942"/>
    <w:rsid w:val="00197546"/>
    <w:rsid w:val="001A15A9"/>
    <w:rsid w:val="001A5F93"/>
    <w:rsid w:val="001A6BA8"/>
    <w:rsid w:val="001B5D1E"/>
    <w:rsid w:val="001C4FEF"/>
    <w:rsid w:val="001C6011"/>
    <w:rsid w:val="001D454E"/>
    <w:rsid w:val="001D71B3"/>
    <w:rsid w:val="00200713"/>
    <w:rsid w:val="00210FD8"/>
    <w:rsid w:val="002234F6"/>
    <w:rsid w:val="002429D7"/>
    <w:rsid w:val="00247BEF"/>
    <w:rsid w:val="00251913"/>
    <w:rsid w:val="00261C33"/>
    <w:rsid w:val="0027092D"/>
    <w:rsid w:val="00272FBA"/>
    <w:rsid w:val="002770C2"/>
    <w:rsid w:val="00281C5A"/>
    <w:rsid w:val="0028749E"/>
    <w:rsid w:val="002A01B8"/>
    <w:rsid w:val="002A2847"/>
    <w:rsid w:val="002B3306"/>
    <w:rsid w:val="002C36F6"/>
    <w:rsid w:val="002C5D24"/>
    <w:rsid w:val="003102B1"/>
    <w:rsid w:val="00313158"/>
    <w:rsid w:val="00314BC9"/>
    <w:rsid w:val="003209D5"/>
    <w:rsid w:val="00321838"/>
    <w:rsid w:val="003243CA"/>
    <w:rsid w:val="003457EA"/>
    <w:rsid w:val="00346EE3"/>
    <w:rsid w:val="003557A2"/>
    <w:rsid w:val="003627CE"/>
    <w:rsid w:val="00362B1D"/>
    <w:rsid w:val="00392936"/>
    <w:rsid w:val="0039711B"/>
    <w:rsid w:val="003A6D42"/>
    <w:rsid w:val="003B0F42"/>
    <w:rsid w:val="003C4025"/>
    <w:rsid w:val="003C6FC4"/>
    <w:rsid w:val="003D1005"/>
    <w:rsid w:val="003F46E8"/>
    <w:rsid w:val="003F55D1"/>
    <w:rsid w:val="0040036B"/>
    <w:rsid w:val="004114C2"/>
    <w:rsid w:val="0043691C"/>
    <w:rsid w:val="004467F4"/>
    <w:rsid w:val="004526D9"/>
    <w:rsid w:val="004539B5"/>
    <w:rsid w:val="00460ED7"/>
    <w:rsid w:val="004677B9"/>
    <w:rsid w:val="004725EA"/>
    <w:rsid w:val="00472F46"/>
    <w:rsid w:val="00477984"/>
    <w:rsid w:val="00481259"/>
    <w:rsid w:val="00481312"/>
    <w:rsid w:val="0048259E"/>
    <w:rsid w:val="00492EAB"/>
    <w:rsid w:val="004930EC"/>
    <w:rsid w:val="004D1AA9"/>
    <w:rsid w:val="004D4C11"/>
    <w:rsid w:val="004E0C01"/>
    <w:rsid w:val="004E220D"/>
    <w:rsid w:val="004E57DE"/>
    <w:rsid w:val="004E6A8A"/>
    <w:rsid w:val="004F0F3C"/>
    <w:rsid w:val="004F10A0"/>
    <w:rsid w:val="004F346F"/>
    <w:rsid w:val="004F42C4"/>
    <w:rsid w:val="004F7F5C"/>
    <w:rsid w:val="00500C13"/>
    <w:rsid w:val="005012C1"/>
    <w:rsid w:val="00512CF9"/>
    <w:rsid w:val="0052116A"/>
    <w:rsid w:val="00546C6A"/>
    <w:rsid w:val="00560DA0"/>
    <w:rsid w:val="005614AB"/>
    <w:rsid w:val="00570D4C"/>
    <w:rsid w:val="00582A8F"/>
    <w:rsid w:val="005937A6"/>
    <w:rsid w:val="005A0CC7"/>
    <w:rsid w:val="005A3440"/>
    <w:rsid w:val="005C480B"/>
    <w:rsid w:val="005C6001"/>
    <w:rsid w:val="005D4EAA"/>
    <w:rsid w:val="005E4232"/>
    <w:rsid w:val="005E6400"/>
    <w:rsid w:val="005F6A51"/>
    <w:rsid w:val="005F7E83"/>
    <w:rsid w:val="00614622"/>
    <w:rsid w:val="00627569"/>
    <w:rsid w:val="0064450B"/>
    <w:rsid w:val="00647358"/>
    <w:rsid w:val="00651D7B"/>
    <w:rsid w:val="00656F20"/>
    <w:rsid w:val="0066409A"/>
    <w:rsid w:val="006709C5"/>
    <w:rsid w:val="00690E22"/>
    <w:rsid w:val="00694DC5"/>
    <w:rsid w:val="006A06B2"/>
    <w:rsid w:val="006C3602"/>
    <w:rsid w:val="006E2F2A"/>
    <w:rsid w:val="006E7153"/>
    <w:rsid w:val="006F2F8D"/>
    <w:rsid w:val="006F3CF2"/>
    <w:rsid w:val="006F7B8E"/>
    <w:rsid w:val="0070368F"/>
    <w:rsid w:val="0070397B"/>
    <w:rsid w:val="007046CE"/>
    <w:rsid w:val="007248C3"/>
    <w:rsid w:val="0072782B"/>
    <w:rsid w:val="00733F9C"/>
    <w:rsid w:val="0075147A"/>
    <w:rsid w:val="00765FCA"/>
    <w:rsid w:val="00767C6A"/>
    <w:rsid w:val="0077017E"/>
    <w:rsid w:val="00775080"/>
    <w:rsid w:val="00775184"/>
    <w:rsid w:val="00777A1B"/>
    <w:rsid w:val="00780902"/>
    <w:rsid w:val="00790E98"/>
    <w:rsid w:val="00796EC9"/>
    <w:rsid w:val="007A1F48"/>
    <w:rsid w:val="007B171F"/>
    <w:rsid w:val="007E65F8"/>
    <w:rsid w:val="007E7333"/>
    <w:rsid w:val="008020A0"/>
    <w:rsid w:val="00804E05"/>
    <w:rsid w:val="00804FB4"/>
    <w:rsid w:val="0080701F"/>
    <w:rsid w:val="0081260F"/>
    <w:rsid w:val="00814F94"/>
    <w:rsid w:val="00815278"/>
    <w:rsid w:val="00823D9E"/>
    <w:rsid w:val="00826A17"/>
    <w:rsid w:val="008536ED"/>
    <w:rsid w:val="008763DC"/>
    <w:rsid w:val="00891BB4"/>
    <w:rsid w:val="008A4BCA"/>
    <w:rsid w:val="008C6FA5"/>
    <w:rsid w:val="008D0BB3"/>
    <w:rsid w:val="008E594C"/>
    <w:rsid w:val="008F3816"/>
    <w:rsid w:val="009108B4"/>
    <w:rsid w:val="0092158F"/>
    <w:rsid w:val="00932077"/>
    <w:rsid w:val="0093454C"/>
    <w:rsid w:val="00934867"/>
    <w:rsid w:val="00936960"/>
    <w:rsid w:val="00943121"/>
    <w:rsid w:val="009538B1"/>
    <w:rsid w:val="009615FB"/>
    <w:rsid w:val="00962C0E"/>
    <w:rsid w:val="00980456"/>
    <w:rsid w:val="00993524"/>
    <w:rsid w:val="009B17FC"/>
    <w:rsid w:val="009B1C3D"/>
    <w:rsid w:val="009E21E6"/>
    <w:rsid w:val="009E7E79"/>
    <w:rsid w:val="00A015CA"/>
    <w:rsid w:val="00A15133"/>
    <w:rsid w:val="00A15663"/>
    <w:rsid w:val="00A1590B"/>
    <w:rsid w:val="00A23322"/>
    <w:rsid w:val="00A309C3"/>
    <w:rsid w:val="00A31AC8"/>
    <w:rsid w:val="00A33EC6"/>
    <w:rsid w:val="00A61E0C"/>
    <w:rsid w:val="00A651AD"/>
    <w:rsid w:val="00A65B78"/>
    <w:rsid w:val="00A70941"/>
    <w:rsid w:val="00A71E72"/>
    <w:rsid w:val="00A92E6D"/>
    <w:rsid w:val="00A94A7D"/>
    <w:rsid w:val="00A97D9D"/>
    <w:rsid w:val="00AA3DDB"/>
    <w:rsid w:val="00AC5047"/>
    <w:rsid w:val="00AD0F4F"/>
    <w:rsid w:val="00AD2662"/>
    <w:rsid w:val="00AE75DA"/>
    <w:rsid w:val="00B13B61"/>
    <w:rsid w:val="00B2240D"/>
    <w:rsid w:val="00B27EB9"/>
    <w:rsid w:val="00B31F28"/>
    <w:rsid w:val="00B328B9"/>
    <w:rsid w:val="00B54E6C"/>
    <w:rsid w:val="00B55A88"/>
    <w:rsid w:val="00B56350"/>
    <w:rsid w:val="00B602A7"/>
    <w:rsid w:val="00B6057F"/>
    <w:rsid w:val="00B8044B"/>
    <w:rsid w:val="00B821B1"/>
    <w:rsid w:val="00B92C88"/>
    <w:rsid w:val="00BA129C"/>
    <w:rsid w:val="00BA3FC8"/>
    <w:rsid w:val="00BA623F"/>
    <w:rsid w:val="00BB38E0"/>
    <w:rsid w:val="00BD06EE"/>
    <w:rsid w:val="00BD7BF0"/>
    <w:rsid w:val="00BE6399"/>
    <w:rsid w:val="00BF3D45"/>
    <w:rsid w:val="00BF3D5A"/>
    <w:rsid w:val="00BF58C8"/>
    <w:rsid w:val="00C04CC7"/>
    <w:rsid w:val="00C31066"/>
    <w:rsid w:val="00C37571"/>
    <w:rsid w:val="00C44499"/>
    <w:rsid w:val="00C513D4"/>
    <w:rsid w:val="00C679BE"/>
    <w:rsid w:val="00C70B20"/>
    <w:rsid w:val="00C725E5"/>
    <w:rsid w:val="00C852D2"/>
    <w:rsid w:val="00CB024D"/>
    <w:rsid w:val="00CB20F2"/>
    <w:rsid w:val="00CC010B"/>
    <w:rsid w:val="00CC1E9F"/>
    <w:rsid w:val="00CC6038"/>
    <w:rsid w:val="00CD091F"/>
    <w:rsid w:val="00CD19D5"/>
    <w:rsid w:val="00CE7F25"/>
    <w:rsid w:val="00CF28D8"/>
    <w:rsid w:val="00D104D6"/>
    <w:rsid w:val="00D17C0D"/>
    <w:rsid w:val="00D3781D"/>
    <w:rsid w:val="00D6305F"/>
    <w:rsid w:val="00D76057"/>
    <w:rsid w:val="00D9641A"/>
    <w:rsid w:val="00DB20D6"/>
    <w:rsid w:val="00DB570B"/>
    <w:rsid w:val="00DC18A7"/>
    <w:rsid w:val="00DD10E9"/>
    <w:rsid w:val="00DD762F"/>
    <w:rsid w:val="00DE1B64"/>
    <w:rsid w:val="00DE67DD"/>
    <w:rsid w:val="00DF46D5"/>
    <w:rsid w:val="00E048F2"/>
    <w:rsid w:val="00E0519A"/>
    <w:rsid w:val="00E23B3E"/>
    <w:rsid w:val="00E32356"/>
    <w:rsid w:val="00E4358C"/>
    <w:rsid w:val="00E445E0"/>
    <w:rsid w:val="00E44695"/>
    <w:rsid w:val="00E57797"/>
    <w:rsid w:val="00E660C0"/>
    <w:rsid w:val="00E76BE8"/>
    <w:rsid w:val="00E83D4F"/>
    <w:rsid w:val="00E91E15"/>
    <w:rsid w:val="00E96BEB"/>
    <w:rsid w:val="00E96C52"/>
    <w:rsid w:val="00EB2761"/>
    <w:rsid w:val="00EC3A43"/>
    <w:rsid w:val="00EC6EDD"/>
    <w:rsid w:val="00ED3617"/>
    <w:rsid w:val="00ED7068"/>
    <w:rsid w:val="00EE3236"/>
    <w:rsid w:val="00F04523"/>
    <w:rsid w:val="00F07077"/>
    <w:rsid w:val="00F1182B"/>
    <w:rsid w:val="00F255A0"/>
    <w:rsid w:val="00F273F3"/>
    <w:rsid w:val="00F344B4"/>
    <w:rsid w:val="00F46BE7"/>
    <w:rsid w:val="00F70C55"/>
    <w:rsid w:val="00F82815"/>
    <w:rsid w:val="00F8503C"/>
    <w:rsid w:val="00F858CD"/>
    <w:rsid w:val="00F900EE"/>
    <w:rsid w:val="00FA561E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AE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styleId="Hyperlink">
    <w:name w:val="Hyperlink"/>
    <w:uiPriority w:val="99"/>
    <w:semiHidden/>
    <w:rsid w:val="00D76057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D76057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</cp:revision>
  <cp:lastPrinted>2021-04-12T15:18:00Z</cp:lastPrinted>
  <dcterms:created xsi:type="dcterms:W3CDTF">2022-07-08T17:00:00Z</dcterms:created>
  <dcterms:modified xsi:type="dcterms:W3CDTF">2022-07-08T17:06:00Z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