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2F913B8C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4C696E">
        <w:rPr>
          <w:rFonts w:ascii="Cambria" w:hAnsi="Cambria"/>
          <w:b/>
          <w:szCs w:val="24"/>
        </w:rPr>
        <w:t>070/2022</w:t>
      </w:r>
    </w:p>
    <w:p w14:paraId="46DB31F4" w14:textId="6927CB2B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4C696E">
        <w:rPr>
          <w:rFonts w:ascii="Cambria" w:hAnsi="Cambria"/>
          <w:b/>
          <w:szCs w:val="24"/>
        </w:rPr>
        <w:t>043/2022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A" w14:textId="5597A50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F96A5D">
        <w:rPr>
          <w:rFonts w:ascii="Cambria" w:hAnsi="Cambria"/>
          <w:szCs w:val="24"/>
        </w:rPr>
        <w:t>036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35D8B199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1FC" w14:textId="1063940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4C696E">
        <w:rPr>
          <w:rFonts w:ascii="Cambria" w:hAnsi="Cambria"/>
          <w:szCs w:val="24"/>
        </w:rPr>
        <w:t>070/2022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6DB3201" w14:textId="3BF0891D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Aos</w:t>
      </w:r>
      <w:r w:rsidR="00A0436C">
        <w:rPr>
          <w:rFonts w:ascii="Cambria" w:hAnsi="Cambria" w:cs="Arial"/>
        </w:rPr>
        <w:t xml:space="preserve"> 20 (vinte) </w:t>
      </w:r>
      <w:r w:rsidRPr="00EB78E9">
        <w:rPr>
          <w:rFonts w:ascii="Cambria" w:hAnsi="Cambria" w:cs="Arial"/>
        </w:rPr>
        <w:t>dias do mês de</w:t>
      </w:r>
      <w:r w:rsidR="00A0436C">
        <w:rPr>
          <w:rFonts w:ascii="Cambria" w:hAnsi="Cambria" w:cs="Arial"/>
        </w:rPr>
        <w:t xml:space="preserve"> junho</w:t>
      </w:r>
      <w:r w:rsidRPr="00EB78E9">
        <w:rPr>
          <w:rFonts w:ascii="Cambria" w:hAnsi="Cambria" w:cs="Arial"/>
        </w:rPr>
        <w:t xml:space="preserve"> de </w:t>
      </w:r>
      <w:r w:rsidR="00226FA9">
        <w:rPr>
          <w:rFonts w:ascii="Cambria" w:hAnsi="Cambria" w:cs="Arial"/>
        </w:rPr>
        <w:t>2022</w:t>
      </w:r>
      <w:r w:rsidRPr="00EB78E9">
        <w:rPr>
          <w:rFonts w:ascii="Cambria" w:hAnsi="Cambria" w:cs="Arial"/>
        </w:rPr>
        <w:t xml:space="preserve">, na sala de licitações, na sede da Prefeitura Municipal, situada na </w:t>
      </w:r>
      <w:r w:rsidR="00417522">
        <w:rPr>
          <w:rFonts w:ascii="Cambria" w:hAnsi="Cambria" w:cs="Arial"/>
        </w:rPr>
        <w:t>Avenida Francisco Valadares da Fonseca, nº. 250, bairro Vasco Lopes</w:t>
      </w:r>
      <w:r w:rsidR="008E3AFA">
        <w:rPr>
          <w:rFonts w:ascii="Cambria" w:hAnsi="Cambria" w:cs="Arial"/>
        </w:rPr>
        <w:t>, Papagaios/MG, CEP 35.669-000</w:t>
      </w:r>
      <w:r w:rsidRPr="00EB78E9">
        <w:rPr>
          <w:rFonts w:ascii="Cambria" w:hAnsi="Cambria" w:cs="Arial"/>
        </w:rPr>
        <w:t xml:space="preserve">, o Exmo. Sr. Prefeito Municipal, Sr. </w:t>
      </w:r>
      <w:r w:rsidR="001C70DE">
        <w:rPr>
          <w:rFonts w:ascii="Cambria" w:hAnsi="Cambria" w:cs="Arial"/>
        </w:rPr>
        <w:t>Mário Reis Filgueiras</w:t>
      </w:r>
      <w:r w:rsidRPr="00EB78E9">
        <w:rPr>
          <w:rFonts w:ascii="Cambria" w:hAnsi="Cambria" w:cs="Arial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696E">
        <w:rPr>
          <w:rFonts w:ascii="Cambria" w:hAnsi="Cambria" w:cs="Arial"/>
        </w:rPr>
        <w:t>043/2022</w:t>
      </w:r>
      <w:r w:rsidRPr="00EB78E9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C696E">
        <w:rPr>
          <w:rFonts w:ascii="Cambria" w:hAnsi="Cambria" w:cs="Arial"/>
        </w:rPr>
        <w:t>070/2022</w:t>
      </w:r>
      <w:r w:rsidRPr="00EB78E9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6F0C09">
        <w:rPr>
          <w:rFonts w:ascii="Cambria" w:hAnsi="Cambria" w:cs="Arial"/>
          <w:b/>
          <w:bCs/>
        </w:rPr>
        <w:t>LUDMILA APARECIDA DE SOUZA</w:t>
      </w:r>
      <w:r w:rsidRPr="00EB78E9">
        <w:rPr>
          <w:rFonts w:ascii="Cambria" w:hAnsi="Cambria" w:cs="Arial"/>
        </w:rPr>
        <w:t xml:space="preserve">, localizado na </w:t>
      </w:r>
      <w:r w:rsidR="006F0C09">
        <w:rPr>
          <w:rFonts w:ascii="Cambria" w:hAnsi="Cambria" w:cs="Arial"/>
        </w:rPr>
        <w:t>Rua Jurema, nº. 321, bairro da Providência</w:t>
      </w:r>
      <w:r w:rsidR="00207A2E">
        <w:rPr>
          <w:rFonts w:ascii="Cambria" w:hAnsi="Cambria" w:cs="Arial"/>
        </w:rPr>
        <w:t>, Pará de Minas/MG, CEP 35.660-970</w:t>
      </w:r>
      <w:r w:rsidRPr="00EB78E9">
        <w:rPr>
          <w:rFonts w:ascii="Cambria" w:hAnsi="Cambria" w:cs="Arial"/>
        </w:rPr>
        <w:t xml:space="preserve">, cujo CNPJ é </w:t>
      </w:r>
      <w:r w:rsidR="00205DD6">
        <w:rPr>
          <w:rFonts w:ascii="Cambria" w:hAnsi="Cambria" w:cs="Arial"/>
        </w:rPr>
        <w:t>27.379.480/0001-08</w:t>
      </w:r>
      <w:r w:rsidRPr="00EB78E9">
        <w:rPr>
          <w:rFonts w:ascii="Cambria" w:hAnsi="Cambria" w:cs="Arial"/>
        </w:rPr>
        <w:t xml:space="preserve">, neste ato representado </w:t>
      </w:r>
      <w:r w:rsidR="00207A2E">
        <w:rPr>
          <w:rFonts w:ascii="Cambria" w:hAnsi="Cambria" w:cs="Arial"/>
        </w:rPr>
        <w:t>Ludmila Aparecida de Souza</w:t>
      </w:r>
      <w:r w:rsidR="00981FB8">
        <w:rPr>
          <w:rFonts w:ascii="Cambria" w:hAnsi="Cambria" w:cs="Arial"/>
        </w:rPr>
        <w:t xml:space="preserve">, inscrito no CPF/MF sob o nº. </w:t>
      </w:r>
      <w:r w:rsidR="005100D0">
        <w:rPr>
          <w:rFonts w:ascii="Cambria" w:hAnsi="Cambria" w:cs="Arial"/>
        </w:rPr>
        <w:t>095.105.536-46</w:t>
      </w:r>
      <w:r w:rsidRPr="00EB78E9">
        <w:rPr>
          <w:rFonts w:ascii="Cambria" w:hAnsi="Cambria" w:cs="Arial"/>
        </w:rPr>
        <w:t>, conforme quadro abaixo:</w:t>
      </w:r>
    </w:p>
    <w:p w14:paraId="46DB3202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039"/>
        <w:gridCol w:w="876"/>
        <w:gridCol w:w="938"/>
        <w:gridCol w:w="1093"/>
        <w:gridCol w:w="964"/>
        <w:gridCol w:w="1076"/>
        <w:gridCol w:w="964"/>
        <w:gridCol w:w="1088"/>
      </w:tblGrid>
      <w:tr w:rsidR="00AD19DF" w:rsidRPr="00AD19DF" w14:paraId="25D8D4C5" w14:textId="77777777" w:rsidTr="00AD19DF">
        <w:trPr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7D69" w14:textId="77777777" w:rsidR="00AD19DF" w:rsidRPr="00AD19DF" w:rsidRDefault="00AD19DF" w:rsidP="00AD19D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2139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801F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AD19DF" w:rsidRPr="00AD19DF" w14:paraId="48FEFA84" w14:textId="77777777" w:rsidTr="00AD19DF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4331" w14:textId="77777777" w:rsidR="00AD19DF" w:rsidRPr="00AD19DF" w:rsidRDefault="00AD19DF" w:rsidP="00AD19D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5610" w14:textId="77777777" w:rsidR="00AD19DF" w:rsidRPr="00AD19DF" w:rsidRDefault="00AD19DF" w:rsidP="00AD19D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B7848B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4B572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18DEF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AD19DF" w:rsidRPr="00AD19DF" w14:paraId="4D51F418" w14:textId="77777777" w:rsidTr="00AD19DF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7AFB" w14:textId="77777777" w:rsidR="00AD19DF" w:rsidRPr="00AD19DF" w:rsidRDefault="00AD19DF" w:rsidP="00AD19D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F800" w14:textId="77777777" w:rsidR="00AD19DF" w:rsidRPr="00AD19DF" w:rsidRDefault="00AD19DF" w:rsidP="00AD19D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E0BE9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Qtde Estimada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BE9C5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41BC9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AB31A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5D86A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C50E5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Qtde. Estimada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D83ABB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AD19DF" w:rsidRPr="00AD19DF" w14:paraId="60A8AFCD" w14:textId="77777777" w:rsidTr="00AD19DF">
        <w:trPr>
          <w:trHeight w:val="24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2697" w14:textId="77777777" w:rsidR="00AD19DF" w:rsidRPr="00AD19DF" w:rsidRDefault="00AD19DF" w:rsidP="00AD19D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61F2" w14:textId="77777777" w:rsidR="00AD19DF" w:rsidRPr="00AD19DF" w:rsidRDefault="00AD19DF" w:rsidP="00AD19D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5AC1" w14:textId="77777777" w:rsidR="00AD19DF" w:rsidRPr="00AD19DF" w:rsidRDefault="00AD19DF" w:rsidP="00AD19D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6FC9" w14:textId="77777777" w:rsidR="00AD19DF" w:rsidRPr="00AD19DF" w:rsidRDefault="00AD19DF" w:rsidP="00AD19D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4B68" w14:textId="77777777" w:rsidR="00AD19DF" w:rsidRPr="00AD19DF" w:rsidRDefault="00AD19DF" w:rsidP="00AD19D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C95F" w14:textId="77777777" w:rsidR="00AD19DF" w:rsidRPr="00AD19DF" w:rsidRDefault="00AD19DF" w:rsidP="00AD19D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0D44" w14:textId="77777777" w:rsidR="00AD19DF" w:rsidRPr="00AD19DF" w:rsidRDefault="00AD19DF" w:rsidP="00AD19D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B5AF" w14:textId="77777777" w:rsidR="00AD19DF" w:rsidRPr="00AD19DF" w:rsidRDefault="00AD19DF" w:rsidP="00AD19D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B518" w14:textId="77777777" w:rsidR="00AD19DF" w:rsidRPr="00AD19DF" w:rsidRDefault="00AD19DF" w:rsidP="00AD19D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D19DF" w:rsidRPr="00AD19DF" w14:paraId="4893FD49" w14:textId="77777777" w:rsidTr="00AD19DF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3CEA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B6FE" w14:textId="77777777" w:rsidR="00AD19DF" w:rsidRPr="00AD19DF" w:rsidRDefault="00AD19DF" w:rsidP="00AD19D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Nobreak Bivolt Microprocessado compacto 1200VA mínimo 5 tomadas. 16 Estágios de regulação, autonomia de 30 min para 80W de potência total, indicador luminoso de rede, conexão cabo 5/15 e tomada padrão 5/15.Possui estabilizador e filtro de linha. Garantia mínima de 1 ano.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343F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608" w14:textId="539613E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549,00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BF63F" w14:textId="245502F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54.900,00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93BF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ADD73" w14:textId="270D92D4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54.900,00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8787" w14:textId="77777777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21E88" w14:textId="35403721" w:rsidR="00AD19DF" w:rsidRPr="00AD19DF" w:rsidRDefault="00AD19DF" w:rsidP="00AD19D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AD19DF">
              <w:rPr>
                <w:rFonts w:ascii="Cambria" w:hAnsi="Cambria" w:cs="Calibri"/>
                <w:color w:val="000000"/>
                <w:sz w:val="18"/>
                <w:szCs w:val="18"/>
              </w:rPr>
              <w:t>274.500,00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r w:rsidRPr="00EB78E9">
        <w:rPr>
          <w:rFonts w:ascii="Cambria" w:hAnsi="Cambria"/>
        </w:rPr>
        <w:noBreakHyphen/>
        <w:t xml:space="preserve"> Os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lastRenderedPageBreak/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76FE88F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5922F003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0672292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I </w:t>
      </w:r>
      <w:r w:rsidRPr="00EB78E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onde: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r w:rsidRPr="00EB78E9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EB78E9">
        <w:rPr>
          <w:rFonts w:ascii="Cambria" w:hAnsi="Cambria"/>
          <w:szCs w:val="24"/>
        </w:rPr>
        <w:lastRenderedPageBreak/>
        <w:t>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r w:rsidRPr="00EB78E9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339B14F8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696E">
        <w:rPr>
          <w:rFonts w:ascii="Cambria" w:hAnsi="Cambria"/>
          <w:szCs w:val="24"/>
        </w:rPr>
        <w:t>043/2022</w:t>
      </w:r>
      <w:r w:rsidRPr="00EB78E9">
        <w:rPr>
          <w:rFonts w:ascii="Cambria" w:hAnsi="Cambria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a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As aquisições do objeto da presente Ata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5585A251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lastRenderedPageBreak/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4C696E">
        <w:rPr>
          <w:rFonts w:ascii="Cambria" w:hAnsi="Cambria" w:cs="Arial"/>
        </w:rPr>
        <w:t>043/2022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7" w14:textId="5F991124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A90397">
        <w:rPr>
          <w:rFonts w:ascii="Cambria" w:hAnsi="Cambria"/>
          <w:szCs w:val="24"/>
        </w:rPr>
        <w:t>20 de junho de 2022.</w:t>
      </w:r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6296AC1" w14:textId="77777777" w:rsidR="005E09F3" w:rsidRPr="005E09F3" w:rsidRDefault="005E09F3" w:rsidP="005E09F3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5E09F3">
        <w:rPr>
          <w:rFonts w:ascii="Cambria" w:hAnsi="Cambria" w:cs="Arial"/>
          <w:b/>
          <w:bCs/>
          <w:i/>
          <w:iCs/>
        </w:rPr>
        <w:t>Mário Reis Filgueiras</w:t>
      </w:r>
    </w:p>
    <w:p w14:paraId="46DB32BC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Município de Papagaios/MG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1" w14:textId="7EF5E2CF" w:rsidR="00961925" w:rsidRPr="009736BA" w:rsidRDefault="00EA412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Ludmila Aparecida de Souza</w:t>
      </w:r>
    </w:p>
    <w:p w14:paraId="0745961C" w14:textId="7AB42C8C" w:rsidR="005E09F3" w:rsidRPr="00EB78E9" w:rsidRDefault="005E09F3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CNPJ/MF </w:t>
      </w:r>
      <w:r w:rsidR="00D56A56">
        <w:rPr>
          <w:rFonts w:ascii="Cambria" w:hAnsi="Cambria" w:cs="Arial"/>
        </w:rPr>
        <w:t>27.054.061/0001-98</w:t>
      </w:r>
    </w:p>
    <w:sectPr w:rsidR="005E09F3" w:rsidRPr="00EB78E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3321" w14:textId="77777777" w:rsidR="008105C9" w:rsidRDefault="008105C9">
      <w:r>
        <w:separator/>
      </w:r>
    </w:p>
  </w:endnote>
  <w:endnote w:type="continuationSeparator" w:id="0">
    <w:p w14:paraId="46DB3322" w14:textId="77777777" w:rsidR="008105C9" w:rsidRDefault="0081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B331F" w14:textId="77777777" w:rsidR="008105C9" w:rsidRDefault="008105C9">
      <w:r>
        <w:separator/>
      </w:r>
    </w:p>
  </w:footnote>
  <w:footnote w:type="continuationSeparator" w:id="0">
    <w:p w14:paraId="46DB3320" w14:textId="77777777" w:rsidR="008105C9" w:rsidRDefault="0081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731517">
    <w:abstractNumId w:val="0"/>
  </w:num>
  <w:num w:numId="2" w16cid:durableId="156048350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3FD0"/>
    <w:rsid w:val="00094E69"/>
    <w:rsid w:val="00095633"/>
    <w:rsid w:val="000C16E6"/>
    <w:rsid w:val="000C5344"/>
    <w:rsid w:val="000D2FA6"/>
    <w:rsid w:val="000D6446"/>
    <w:rsid w:val="000E3631"/>
    <w:rsid w:val="000E427B"/>
    <w:rsid w:val="000E479B"/>
    <w:rsid w:val="000E7CF4"/>
    <w:rsid w:val="0010144B"/>
    <w:rsid w:val="00114B8B"/>
    <w:rsid w:val="00114EF1"/>
    <w:rsid w:val="00133237"/>
    <w:rsid w:val="00161AE1"/>
    <w:rsid w:val="00173E14"/>
    <w:rsid w:val="00174E35"/>
    <w:rsid w:val="00177C07"/>
    <w:rsid w:val="00181C40"/>
    <w:rsid w:val="001A15A9"/>
    <w:rsid w:val="001A5F93"/>
    <w:rsid w:val="001A76CD"/>
    <w:rsid w:val="001B2E39"/>
    <w:rsid w:val="001B5D1E"/>
    <w:rsid w:val="001B76CC"/>
    <w:rsid w:val="001C70DE"/>
    <w:rsid w:val="001D46C5"/>
    <w:rsid w:val="001E1C31"/>
    <w:rsid w:val="001E4580"/>
    <w:rsid w:val="001E7926"/>
    <w:rsid w:val="00200713"/>
    <w:rsid w:val="002011C0"/>
    <w:rsid w:val="00205DD6"/>
    <w:rsid w:val="002075FE"/>
    <w:rsid w:val="00207A2E"/>
    <w:rsid w:val="00210FD8"/>
    <w:rsid w:val="00226FA9"/>
    <w:rsid w:val="00236D67"/>
    <w:rsid w:val="00237EAA"/>
    <w:rsid w:val="002476CF"/>
    <w:rsid w:val="00247BEF"/>
    <w:rsid w:val="0027092D"/>
    <w:rsid w:val="00273022"/>
    <w:rsid w:val="002757E8"/>
    <w:rsid w:val="002770C2"/>
    <w:rsid w:val="0028489E"/>
    <w:rsid w:val="002A01B8"/>
    <w:rsid w:val="002A50C7"/>
    <w:rsid w:val="002B522C"/>
    <w:rsid w:val="002B7728"/>
    <w:rsid w:val="002C349F"/>
    <w:rsid w:val="002C36F6"/>
    <w:rsid w:val="002C5D24"/>
    <w:rsid w:val="002D3DAC"/>
    <w:rsid w:val="002D638B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A22E9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06EF9"/>
    <w:rsid w:val="004114C2"/>
    <w:rsid w:val="00417522"/>
    <w:rsid w:val="004236FC"/>
    <w:rsid w:val="00424897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172"/>
    <w:rsid w:val="004A0C06"/>
    <w:rsid w:val="004B377B"/>
    <w:rsid w:val="004B39EA"/>
    <w:rsid w:val="004C3FB8"/>
    <w:rsid w:val="004C696E"/>
    <w:rsid w:val="004D5CDA"/>
    <w:rsid w:val="004E220D"/>
    <w:rsid w:val="004E6A8A"/>
    <w:rsid w:val="004F10A0"/>
    <w:rsid w:val="004F29E5"/>
    <w:rsid w:val="004F42C4"/>
    <w:rsid w:val="004F7F5C"/>
    <w:rsid w:val="005012C1"/>
    <w:rsid w:val="00506972"/>
    <w:rsid w:val="005100D0"/>
    <w:rsid w:val="005101A8"/>
    <w:rsid w:val="005301E1"/>
    <w:rsid w:val="00542B7A"/>
    <w:rsid w:val="005659BF"/>
    <w:rsid w:val="00573148"/>
    <w:rsid w:val="005843F9"/>
    <w:rsid w:val="005937A6"/>
    <w:rsid w:val="005A0CC7"/>
    <w:rsid w:val="005A3440"/>
    <w:rsid w:val="005C2565"/>
    <w:rsid w:val="005E09F3"/>
    <w:rsid w:val="005E4232"/>
    <w:rsid w:val="005F1399"/>
    <w:rsid w:val="005F7E83"/>
    <w:rsid w:val="00612C56"/>
    <w:rsid w:val="00612E9B"/>
    <w:rsid w:val="0061458F"/>
    <w:rsid w:val="00614622"/>
    <w:rsid w:val="00647358"/>
    <w:rsid w:val="00647910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A66E4"/>
    <w:rsid w:val="006C3979"/>
    <w:rsid w:val="006C458A"/>
    <w:rsid w:val="006C6D16"/>
    <w:rsid w:val="006D7103"/>
    <w:rsid w:val="006D74E5"/>
    <w:rsid w:val="006E6F38"/>
    <w:rsid w:val="006E7153"/>
    <w:rsid w:val="006F0C09"/>
    <w:rsid w:val="006F2190"/>
    <w:rsid w:val="006F2F8D"/>
    <w:rsid w:val="006F458E"/>
    <w:rsid w:val="006F7A8F"/>
    <w:rsid w:val="006F7B8E"/>
    <w:rsid w:val="006F7D62"/>
    <w:rsid w:val="00707386"/>
    <w:rsid w:val="007113D4"/>
    <w:rsid w:val="007301AD"/>
    <w:rsid w:val="007460B9"/>
    <w:rsid w:val="0075147A"/>
    <w:rsid w:val="00752E08"/>
    <w:rsid w:val="00755E81"/>
    <w:rsid w:val="007566EC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3098"/>
    <w:rsid w:val="007B4C4C"/>
    <w:rsid w:val="007B5DF6"/>
    <w:rsid w:val="007C2B14"/>
    <w:rsid w:val="007D123F"/>
    <w:rsid w:val="007D35B8"/>
    <w:rsid w:val="007D579F"/>
    <w:rsid w:val="007E65F8"/>
    <w:rsid w:val="007E7333"/>
    <w:rsid w:val="007F6918"/>
    <w:rsid w:val="008014E1"/>
    <w:rsid w:val="008020A0"/>
    <w:rsid w:val="00804E05"/>
    <w:rsid w:val="00807240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44C4"/>
    <w:rsid w:val="00896372"/>
    <w:rsid w:val="008A338A"/>
    <w:rsid w:val="008A4BCA"/>
    <w:rsid w:val="008B23CA"/>
    <w:rsid w:val="008B358F"/>
    <w:rsid w:val="008C7DE4"/>
    <w:rsid w:val="008D2D20"/>
    <w:rsid w:val="008D6E6C"/>
    <w:rsid w:val="008E1FF8"/>
    <w:rsid w:val="008E3AFA"/>
    <w:rsid w:val="008E594C"/>
    <w:rsid w:val="00900A6E"/>
    <w:rsid w:val="009345DA"/>
    <w:rsid w:val="00934867"/>
    <w:rsid w:val="00940302"/>
    <w:rsid w:val="00943151"/>
    <w:rsid w:val="009513FC"/>
    <w:rsid w:val="00951A08"/>
    <w:rsid w:val="009615FB"/>
    <w:rsid w:val="00961925"/>
    <w:rsid w:val="009736BA"/>
    <w:rsid w:val="00980456"/>
    <w:rsid w:val="00981FB8"/>
    <w:rsid w:val="009A4A47"/>
    <w:rsid w:val="009A6E56"/>
    <w:rsid w:val="009B1C3D"/>
    <w:rsid w:val="009C09EF"/>
    <w:rsid w:val="009C527E"/>
    <w:rsid w:val="009D0A08"/>
    <w:rsid w:val="009D484C"/>
    <w:rsid w:val="009F2283"/>
    <w:rsid w:val="00A0436C"/>
    <w:rsid w:val="00A0586B"/>
    <w:rsid w:val="00A06D64"/>
    <w:rsid w:val="00A15133"/>
    <w:rsid w:val="00A221DC"/>
    <w:rsid w:val="00A23322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30C6"/>
    <w:rsid w:val="00A644AA"/>
    <w:rsid w:val="00A64F5E"/>
    <w:rsid w:val="00A71E72"/>
    <w:rsid w:val="00A82C66"/>
    <w:rsid w:val="00A90397"/>
    <w:rsid w:val="00A91FE9"/>
    <w:rsid w:val="00A961CA"/>
    <w:rsid w:val="00A97C05"/>
    <w:rsid w:val="00AA16E7"/>
    <w:rsid w:val="00AA5F0B"/>
    <w:rsid w:val="00AC0E53"/>
    <w:rsid w:val="00AC65DE"/>
    <w:rsid w:val="00AC7096"/>
    <w:rsid w:val="00AD0F4F"/>
    <w:rsid w:val="00AD19D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C453C"/>
    <w:rsid w:val="00BD06EE"/>
    <w:rsid w:val="00C046C5"/>
    <w:rsid w:val="00C10878"/>
    <w:rsid w:val="00C22D44"/>
    <w:rsid w:val="00C275E2"/>
    <w:rsid w:val="00C31066"/>
    <w:rsid w:val="00C33665"/>
    <w:rsid w:val="00C3759E"/>
    <w:rsid w:val="00C37DC7"/>
    <w:rsid w:val="00C513D4"/>
    <w:rsid w:val="00C63014"/>
    <w:rsid w:val="00C73E94"/>
    <w:rsid w:val="00C741A4"/>
    <w:rsid w:val="00C7580C"/>
    <w:rsid w:val="00C764F9"/>
    <w:rsid w:val="00C80443"/>
    <w:rsid w:val="00CA18BE"/>
    <w:rsid w:val="00CC0DAF"/>
    <w:rsid w:val="00CD19D5"/>
    <w:rsid w:val="00CE7F25"/>
    <w:rsid w:val="00CF5B1A"/>
    <w:rsid w:val="00D01E09"/>
    <w:rsid w:val="00D17C0D"/>
    <w:rsid w:val="00D233F1"/>
    <w:rsid w:val="00D31BF6"/>
    <w:rsid w:val="00D358F0"/>
    <w:rsid w:val="00D505CA"/>
    <w:rsid w:val="00D5154D"/>
    <w:rsid w:val="00D55E83"/>
    <w:rsid w:val="00D56A56"/>
    <w:rsid w:val="00D66934"/>
    <w:rsid w:val="00D83426"/>
    <w:rsid w:val="00D85C00"/>
    <w:rsid w:val="00DC18A7"/>
    <w:rsid w:val="00DE2653"/>
    <w:rsid w:val="00DE3EED"/>
    <w:rsid w:val="00DE67DD"/>
    <w:rsid w:val="00DF1244"/>
    <w:rsid w:val="00DF46D5"/>
    <w:rsid w:val="00E14E84"/>
    <w:rsid w:val="00E24778"/>
    <w:rsid w:val="00E41EEF"/>
    <w:rsid w:val="00E548A9"/>
    <w:rsid w:val="00E62D52"/>
    <w:rsid w:val="00E83D4F"/>
    <w:rsid w:val="00EA4125"/>
    <w:rsid w:val="00EB2761"/>
    <w:rsid w:val="00EB3B2C"/>
    <w:rsid w:val="00EB78E9"/>
    <w:rsid w:val="00EC47D8"/>
    <w:rsid w:val="00EC4F0A"/>
    <w:rsid w:val="00EE09C2"/>
    <w:rsid w:val="00EE128B"/>
    <w:rsid w:val="00EE2DB2"/>
    <w:rsid w:val="00EE42E9"/>
    <w:rsid w:val="00F04523"/>
    <w:rsid w:val="00F07077"/>
    <w:rsid w:val="00F1182B"/>
    <w:rsid w:val="00F156F1"/>
    <w:rsid w:val="00F21695"/>
    <w:rsid w:val="00F255A0"/>
    <w:rsid w:val="00F263B2"/>
    <w:rsid w:val="00F30910"/>
    <w:rsid w:val="00F32291"/>
    <w:rsid w:val="00F330D2"/>
    <w:rsid w:val="00F52F4C"/>
    <w:rsid w:val="00F6526E"/>
    <w:rsid w:val="00F71E73"/>
    <w:rsid w:val="00F83F8D"/>
    <w:rsid w:val="00F858CD"/>
    <w:rsid w:val="00F96A5D"/>
    <w:rsid w:val="00FB3378"/>
    <w:rsid w:val="00FB4EAF"/>
    <w:rsid w:val="00FB7541"/>
    <w:rsid w:val="00FC20C9"/>
    <w:rsid w:val="00FC22C6"/>
    <w:rsid w:val="00FC31BA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1944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9</cp:revision>
  <cp:lastPrinted>2022-06-20T11:45:00Z</cp:lastPrinted>
  <dcterms:created xsi:type="dcterms:W3CDTF">2022-06-20T18:52:00Z</dcterms:created>
  <dcterms:modified xsi:type="dcterms:W3CDTF">2022-06-20T18:56:00Z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