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F913B8C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4C696E">
        <w:rPr>
          <w:rFonts w:ascii="Cambria" w:hAnsi="Cambria"/>
          <w:b/>
          <w:szCs w:val="24"/>
        </w:rPr>
        <w:t>070/2022</w:t>
      </w:r>
    </w:p>
    <w:p w14:paraId="46DB31F4" w14:textId="6927CB2B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4C696E">
        <w:rPr>
          <w:rFonts w:ascii="Cambria" w:hAnsi="Cambria"/>
          <w:b/>
          <w:szCs w:val="24"/>
        </w:rPr>
        <w:t>043/2022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597A501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F96A5D">
        <w:rPr>
          <w:rFonts w:ascii="Cambria" w:hAnsi="Cambria"/>
          <w:szCs w:val="24"/>
        </w:rPr>
        <w:t>036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35D8B199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1FC" w14:textId="1063940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4C696E">
        <w:rPr>
          <w:rFonts w:ascii="Cambria" w:hAnsi="Cambria"/>
          <w:szCs w:val="24"/>
        </w:rPr>
        <w:t>070/2022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0190B126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Aos</w:t>
      </w:r>
      <w:r w:rsidR="00A0436C">
        <w:rPr>
          <w:rFonts w:ascii="Cambria" w:hAnsi="Cambria" w:cs="Arial"/>
        </w:rPr>
        <w:t xml:space="preserve"> 20 (vinte) </w:t>
      </w:r>
      <w:r w:rsidRPr="00EB78E9">
        <w:rPr>
          <w:rFonts w:ascii="Cambria" w:hAnsi="Cambria" w:cs="Arial"/>
        </w:rPr>
        <w:t>dias do mês de</w:t>
      </w:r>
      <w:r w:rsidR="00A0436C">
        <w:rPr>
          <w:rFonts w:ascii="Cambria" w:hAnsi="Cambria" w:cs="Arial"/>
        </w:rPr>
        <w:t xml:space="preserve"> junho</w:t>
      </w:r>
      <w:r w:rsidRPr="00EB78E9">
        <w:rPr>
          <w:rFonts w:ascii="Cambria" w:hAnsi="Cambria" w:cs="Arial"/>
        </w:rPr>
        <w:t xml:space="preserve"> de </w:t>
      </w:r>
      <w:r w:rsidR="00226FA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417522">
        <w:rPr>
          <w:rFonts w:ascii="Cambria" w:hAnsi="Cambria" w:cs="Arial"/>
        </w:rPr>
        <w:t>Avenida Francisco Valadares da Fonseca, nº. 250, bairro Vasco Lopes</w:t>
      </w:r>
      <w:r w:rsidR="008E3AFA">
        <w:rPr>
          <w:rFonts w:ascii="Cambria" w:hAnsi="Cambria" w:cs="Arial"/>
        </w:rPr>
        <w:t>, Papagaios/MG, CEP 35.669-000</w:t>
      </w:r>
      <w:r w:rsidRPr="00EB78E9">
        <w:rPr>
          <w:rFonts w:ascii="Cambria" w:hAnsi="Cambria" w:cs="Arial"/>
        </w:rPr>
        <w:t xml:space="preserve">, o Exmo. Sr. Prefeito Municipal, Sr. </w:t>
      </w:r>
      <w:r w:rsidR="001C70DE">
        <w:rPr>
          <w:rFonts w:ascii="Cambria" w:hAnsi="Cambria" w:cs="Arial"/>
        </w:rPr>
        <w:t xml:space="preserve">Mário Reis </w:t>
      </w:r>
      <w:proofErr w:type="spellStart"/>
      <w:r w:rsidR="001C70DE">
        <w:rPr>
          <w:rFonts w:ascii="Cambria" w:hAnsi="Cambria" w:cs="Arial"/>
        </w:rPr>
        <w:t>Filgueiras</w:t>
      </w:r>
      <w:proofErr w:type="spellEnd"/>
      <w:r w:rsidRPr="00EB78E9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C696E">
        <w:rPr>
          <w:rFonts w:ascii="Cambria" w:hAnsi="Cambria" w:cs="Arial"/>
        </w:rPr>
        <w:t>043/2022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C696E">
        <w:rPr>
          <w:rFonts w:ascii="Cambria" w:hAnsi="Cambria" w:cs="Arial"/>
        </w:rPr>
        <w:t>070/2022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2A50C7">
        <w:rPr>
          <w:rFonts w:ascii="Cambria" w:hAnsi="Cambria" w:cs="Arial"/>
          <w:b/>
          <w:bCs/>
        </w:rPr>
        <w:t>ARJ INFORMATICA E ACESSORIOS EIRELI – ME</w:t>
      </w:r>
      <w:r w:rsidRPr="00EB78E9">
        <w:rPr>
          <w:rFonts w:ascii="Cambria" w:hAnsi="Cambria" w:cs="Arial"/>
        </w:rPr>
        <w:t xml:space="preserve">, localizado na </w:t>
      </w:r>
      <w:r w:rsidR="00D66934">
        <w:rPr>
          <w:rFonts w:ascii="Cambria" w:hAnsi="Cambria" w:cs="Arial"/>
        </w:rPr>
        <w:t>Rua Nova Serrana, n</w:t>
      </w:r>
      <w:r w:rsidR="00205DD6">
        <w:rPr>
          <w:rFonts w:ascii="Cambria" w:hAnsi="Cambria" w:cs="Arial"/>
        </w:rPr>
        <w:t>º</w:t>
      </w:r>
      <w:r w:rsidR="00D66934">
        <w:rPr>
          <w:rFonts w:ascii="Cambria" w:hAnsi="Cambria" w:cs="Arial"/>
        </w:rPr>
        <w:t xml:space="preserve">. 31, bairro Nossa Senhora de Lourdes, Pará de Minas/MG, CEP </w:t>
      </w:r>
      <w:r w:rsidR="00205DD6">
        <w:rPr>
          <w:rFonts w:ascii="Cambria" w:hAnsi="Cambria" w:cs="Arial"/>
        </w:rPr>
        <w:t>35.660-178</w:t>
      </w:r>
      <w:r w:rsidRPr="00EB78E9">
        <w:rPr>
          <w:rFonts w:ascii="Cambria" w:hAnsi="Cambria" w:cs="Arial"/>
        </w:rPr>
        <w:t xml:space="preserve">, cujo CNPJ é </w:t>
      </w:r>
      <w:r w:rsidR="00205DD6">
        <w:rPr>
          <w:rFonts w:ascii="Cambria" w:hAnsi="Cambria" w:cs="Arial"/>
        </w:rPr>
        <w:t>27.379.480/0001-08</w:t>
      </w:r>
      <w:r w:rsidRPr="00EB78E9">
        <w:rPr>
          <w:rFonts w:ascii="Cambria" w:hAnsi="Cambria" w:cs="Arial"/>
        </w:rPr>
        <w:t xml:space="preserve">, neste ato representado por </w:t>
      </w:r>
      <w:r w:rsidR="000D6446">
        <w:rPr>
          <w:rFonts w:ascii="Cambria" w:hAnsi="Cambria" w:cs="Arial"/>
        </w:rPr>
        <w:t>João Paulo Faria</w:t>
      </w:r>
      <w:r w:rsidR="00981FB8">
        <w:rPr>
          <w:rFonts w:ascii="Cambria" w:hAnsi="Cambria" w:cs="Arial"/>
        </w:rPr>
        <w:t xml:space="preserve">, inscrito no CPF/MF sob o nº. </w:t>
      </w:r>
      <w:r w:rsidR="000D6446">
        <w:rPr>
          <w:rFonts w:ascii="Cambria" w:hAnsi="Cambria" w:cs="Arial"/>
        </w:rPr>
        <w:t>057.015.316-60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03"/>
        <w:gridCol w:w="864"/>
        <w:gridCol w:w="929"/>
        <w:gridCol w:w="1020"/>
        <w:gridCol w:w="919"/>
        <w:gridCol w:w="1009"/>
        <w:gridCol w:w="919"/>
        <w:gridCol w:w="1055"/>
      </w:tblGrid>
      <w:tr w:rsidR="008944C4" w:rsidRPr="008944C4" w14:paraId="7AB23DB4" w14:textId="77777777" w:rsidTr="008944C4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134FE76D" w14:textId="77777777" w:rsidR="008944C4" w:rsidRPr="008944C4" w:rsidRDefault="008944C4" w:rsidP="008944C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14:paraId="7B6E0800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715" w:type="dxa"/>
            <w:gridSpan w:val="7"/>
            <w:shd w:val="clear" w:color="auto" w:fill="auto"/>
            <w:vAlign w:val="center"/>
            <w:hideMark/>
          </w:tcPr>
          <w:p w14:paraId="4735EC2C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8944C4" w:rsidRPr="008944C4" w14:paraId="5984C155" w14:textId="77777777" w:rsidTr="008944C4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22F62DE9" w14:textId="77777777" w:rsidR="008944C4" w:rsidRPr="008944C4" w:rsidRDefault="008944C4" w:rsidP="008944C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14:paraId="594BFF83" w14:textId="77777777" w:rsidR="008944C4" w:rsidRPr="008944C4" w:rsidRDefault="008944C4" w:rsidP="008944C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3"/>
            <w:shd w:val="clear" w:color="000000" w:fill="BFBFBF"/>
            <w:vAlign w:val="center"/>
            <w:hideMark/>
          </w:tcPr>
          <w:p w14:paraId="53962373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28" w:type="dxa"/>
            <w:gridSpan w:val="2"/>
            <w:shd w:val="clear" w:color="000000" w:fill="BFBFBF"/>
            <w:vAlign w:val="center"/>
            <w:hideMark/>
          </w:tcPr>
          <w:p w14:paraId="41DACAF8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74" w:type="dxa"/>
            <w:gridSpan w:val="2"/>
            <w:shd w:val="clear" w:color="000000" w:fill="BFBFBF"/>
            <w:vAlign w:val="center"/>
            <w:hideMark/>
          </w:tcPr>
          <w:p w14:paraId="01A95DEB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8944C4" w:rsidRPr="008944C4" w14:paraId="18E0CD63" w14:textId="77777777" w:rsidTr="008944C4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54F9C63A" w14:textId="77777777" w:rsidR="008944C4" w:rsidRPr="008944C4" w:rsidRDefault="008944C4" w:rsidP="008944C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14:paraId="0D36770A" w14:textId="77777777" w:rsidR="008944C4" w:rsidRPr="008944C4" w:rsidRDefault="008944C4" w:rsidP="008944C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shd w:val="clear" w:color="000000" w:fill="D9D9D9"/>
            <w:vAlign w:val="center"/>
            <w:hideMark/>
          </w:tcPr>
          <w:p w14:paraId="7D81778C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29" w:type="dxa"/>
            <w:vMerge w:val="restart"/>
            <w:shd w:val="clear" w:color="000000" w:fill="D9D9D9"/>
            <w:vAlign w:val="center"/>
            <w:hideMark/>
          </w:tcPr>
          <w:p w14:paraId="6AD4298C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20" w:type="dxa"/>
            <w:vMerge w:val="restart"/>
            <w:shd w:val="clear" w:color="000000" w:fill="D9D9D9"/>
            <w:vAlign w:val="center"/>
            <w:hideMark/>
          </w:tcPr>
          <w:p w14:paraId="684ACB14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9" w:type="dxa"/>
            <w:vMerge w:val="restart"/>
            <w:shd w:val="clear" w:color="000000" w:fill="D9D9D9"/>
            <w:vAlign w:val="center"/>
            <w:hideMark/>
          </w:tcPr>
          <w:p w14:paraId="185DBBC6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09" w:type="dxa"/>
            <w:vMerge w:val="restart"/>
            <w:shd w:val="clear" w:color="000000" w:fill="D9D9D9"/>
            <w:vAlign w:val="center"/>
            <w:hideMark/>
          </w:tcPr>
          <w:p w14:paraId="5EF957EB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9" w:type="dxa"/>
            <w:vMerge w:val="restart"/>
            <w:shd w:val="clear" w:color="000000" w:fill="D9D9D9"/>
            <w:vAlign w:val="center"/>
            <w:hideMark/>
          </w:tcPr>
          <w:p w14:paraId="1EAECD08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55" w:type="dxa"/>
            <w:vMerge w:val="restart"/>
            <w:shd w:val="clear" w:color="000000" w:fill="D9D9D9"/>
            <w:vAlign w:val="center"/>
            <w:hideMark/>
          </w:tcPr>
          <w:p w14:paraId="32FC6CA5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8944C4" w:rsidRPr="008944C4" w14:paraId="1D42ECCB" w14:textId="77777777" w:rsidTr="008944C4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03340178" w14:textId="77777777" w:rsidR="008944C4" w:rsidRPr="008944C4" w:rsidRDefault="008944C4" w:rsidP="008944C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14:paraId="7D291C67" w14:textId="77777777" w:rsidR="008944C4" w:rsidRPr="008944C4" w:rsidRDefault="008944C4" w:rsidP="008944C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14:paraId="2D338406" w14:textId="77777777" w:rsidR="008944C4" w:rsidRPr="008944C4" w:rsidRDefault="008944C4" w:rsidP="008944C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2C5C9440" w14:textId="77777777" w:rsidR="008944C4" w:rsidRPr="008944C4" w:rsidRDefault="008944C4" w:rsidP="008944C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76B02C52" w14:textId="77777777" w:rsidR="008944C4" w:rsidRPr="008944C4" w:rsidRDefault="008944C4" w:rsidP="008944C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5FA13428" w14:textId="77777777" w:rsidR="008944C4" w:rsidRPr="008944C4" w:rsidRDefault="008944C4" w:rsidP="008944C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465AD1CD" w14:textId="77777777" w:rsidR="008944C4" w:rsidRPr="008944C4" w:rsidRDefault="008944C4" w:rsidP="008944C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252F7533" w14:textId="77777777" w:rsidR="008944C4" w:rsidRPr="008944C4" w:rsidRDefault="008944C4" w:rsidP="008944C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28AFE332" w14:textId="77777777" w:rsidR="008944C4" w:rsidRPr="008944C4" w:rsidRDefault="008944C4" w:rsidP="008944C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8944C4" w:rsidRPr="008944C4" w14:paraId="41737135" w14:textId="77777777" w:rsidTr="008944C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B82DC46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6492991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BATERIA CR2032 PARA PLACA MÃE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FCC8C19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5276E8D" w14:textId="35FEC280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C8FE67" w14:textId="6BA0BE24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2DD46D8A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97B22D8" w14:textId="1ADDBF4D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13F49EE6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A809CA5" w14:textId="5FD25700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475,00</w:t>
            </w:r>
          </w:p>
        </w:tc>
      </w:tr>
      <w:tr w:rsidR="008944C4" w:rsidRPr="008944C4" w14:paraId="29EDEE45" w14:textId="77777777" w:rsidTr="008944C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4CAE030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607546C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CABO DE ENERGIA FLEXIVEL P/ FONTE DE ENERGIA PLUG 3 PONTAS PADRÃO BRASILEIRO NEMA 5/15 - NBR 14136 - TAMANHO 1,8. CORRENTE: 10A 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23E9BEA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6F00A0C" w14:textId="4AD31B36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BE1E04" w14:textId="4D1AFB15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1.090,00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35924703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7BB0379" w14:textId="08C83478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1.090,00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6C811A70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FE02097" w14:textId="045938FB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5.450,00</w:t>
            </w:r>
          </w:p>
        </w:tc>
      </w:tr>
      <w:tr w:rsidR="008944C4" w:rsidRPr="008944C4" w14:paraId="42D5F830" w14:textId="77777777" w:rsidTr="008944C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7DA8AE2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060ED453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CABO USB 2.0 AM X BM 1,8M PARA IMPRESSORAS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1F42DED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F92924D" w14:textId="03C9578C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03461B" w14:textId="7BB40E58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69A531C7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1739370" w14:textId="57325A51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49EBD1A1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76D5F231" w14:textId="7388204B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2.475,00</w:t>
            </w:r>
          </w:p>
        </w:tc>
      </w:tr>
      <w:tr w:rsidR="008944C4" w:rsidRPr="008944C4" w14:paraId="43898A19" w14:textId="77777777" w:rsidTr="008944C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59F16EA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33EE1CD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COOLER PARA GABINETE 80X80 MM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E696AA8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D2DB288" w14:textId="1E7BD8FB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26DCDA" w14:textId="7DDBC0B4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1.140,00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66F3820A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6D0BA96" w14:textId="36BAA473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1.140,00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3092D71F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C5396CF" w14:textId="0CA95A3F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5.700,00</w:t>
            </w:r>
          </w:p>
        </w:tc>
      </w:tr>
      <w:tr w:rsidR="008944C4" w:rsidRPr="008944C4" w14:paraId="3DE4F65F" w14:textId="77777777" w:rsidTr="008944C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83C544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0336F8E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FONTE ATX VERSÃO 2.3; BIVOLT MANUAL COM CHAVE SELETORA OU AUTOMÁTICA; PINAGEM: 1 </w:t>
            </w:r>
            <w:r w:rsidRPr="008944C4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ALIMENTAÇÃO 20/24 PINOS; 1 AUXILIAR ATX; 1 ALIMENTAÇÃO DRIVE 1.44; 2 SERIAL ATA OU MAIS; 2 IDE; 1 CONECTOR PCI EXPRESS COM 4 PINOS; POTÊNCIA REAL 500W; CABO DE ENERGIA INCLUSO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04BA116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06F7E43" w14:textId="58E4CB18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4BD62B" w14:textId="0F4FE12C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27.400,00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7863DADA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9CFD5FC" w14:textId="2B7C2F86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27.400,00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2550DEEB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A84A3F5" w14:textId="3C68AAF5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137.000,00</w:t>
            </w:r>
          </w:p>
        </w:tc>
      </w:tr>
      <w:tr w:rsidR="008944C4" w:rsidRPr="008944C4" w14:paraId="2FEE228B" w14:textId="77777777" w:rsidTr="008944C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3CC7B8C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26AC65F4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LEITOR DE CODIGO DE BARRAS: CARACTERÍSTICAS ÓPTICAS: FONTE DE LUZ: LASER VERMELHO, 600 A 660 NM; DISTÂNCIA DE LEITURA: DE 1,3 25CM; LARGURA DE JANELA: ATÉ 120MM; RESOLUÇÃO: 4 MILS OU MENOR; VELOCIDADE DO SCANNER: MÍNIMO DE 150 SCANS/SEGUNDO; DIFERENÇA DE REFLEXÃO (CONTRASTE): PERMITE LEITURA DE REFLEXÃO DE 30%; LEITURA: BIDIRECIONAL. CARACTERÍSTICAS FÍSICAS: PESO: MÁXIMO DE 160G (SEM CABO); TAMANHO DO CABO: MÍNIMO DE 2,0 M; INDICADOR SONORO: PELO MENOS 1 TOM; INDICADOR LUMINOSO: LIGADO, LEITURA E OK. CARACTERÍSTICAS ELÉTRICAS: VOLTAGEM: 5 VDC OU 12 VDC; CORRENTE EM OPERAÇÃO: ATÉ 255 MA; CORRENTE SEM USO: ATÉ 120 MA; CERTIFICAÇÕES: </w:t>
            </w: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UL, FCC CLASSE A, CE. CARACTERÍSTICAS AMBIENTAIS: TEMPERATURA DE OPERAÇÃO: 0ºC A 45ºC; TEMPERATURA EM ARMAZENAMENTO: -40ºC A 60ºC; UMIDADE: 5% A 90%, NÃO CONDENSADO; NÍVEL DE LUMINOSIDADE: MÍNIMO 60.000 LUX; RESISTÊNCIA À QUEDAS: 1,5 M EM SUPERFÍCIE DE CONCRETO. SIMBOLOGIAS SUPORTADAS: CODE 39/ FULL ASCII, CODABAR, PHARMA CODE, INDUSTRIAL 2 OF 5, INTERCALADO 2 DE 5, MTRIX 2 DE 5, CODE DE 93, CODE 128, EAN 128, MSI, EAN 8 &amp; 13, UPCA &amp; E, PLESSEY. SUPORTE: PARA LEITURA AUTOMÁTICA E LEITURA AUTO-SENSE. INTERFACE: USB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ED00F0B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EDDE4D3" w14:textId="5EE2554C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A04599" w14:textId="1294CF3E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1.490,00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6C9ADB57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BDD93DE" w14:textId="19E364A0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1.490,00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4E7E577B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FEEED7D" w14:textId="391AC746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7.450,00</w:t>
            </w:r>
          </w:p>
        </w:tc>
      </w:tr>
      <w:tr w:rsidR="008944C4" w:rsidRPr="008944C4" w14:paraId="4ED0581C" w14:textId="77777777" w:rsidTr="008944C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B00855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53C9CEA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PEN DRIVE COM NO MÍNIMO 16GB DE MEMÓRIA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15C9666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8029548" w14:textId="7C984C4E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24,90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25B6E9" w14:textId="148D2005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1.494,00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5FE6D49F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577B8A5" w14:textId="24FBCD92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1.494,00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4CF36676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0AE9283" w14:textId="7E6CF353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7.470,00</w:t>
            </w:r>
          </w:p>
        </w:tc>
      </w:tr>
      <w:tr w:rsidR="008944C4" w:rsidRPr="008944C4" w14:paraId="3B668E8A" w14:textId="77777777" w:rsidTr="008944C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9D109C8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3710ECD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PEN DRIVE COM NO MÍNIMO 32GB DE MEMÓRIA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351C3D0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2D1C745" w14:textId="39DE7053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26,70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D69190" w14:textId="6A411174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1.335,00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569AFF94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34BA86F" w14:textId="1D6153FF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1.335,00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588971BB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BDCF0BF" w14:textId="66955955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6.675,00</w:t>
            </w:r>
          </w:p>
        </w:tc>
      </w:tr>
      <w:tr w:rsidR="008944C4" w:rsidRPr="008944C4" w14:paraId="69DA2FA4" w14:textId="77777777" w:rsidTr="008944C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8772636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E01DCE7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ADAPTADOR USB WIRELESS COM ANTENA REMOVÍVEL DE 5 DBI OU SUPERIOR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8846A59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AF0CFC5" w14:textId="75AF9801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32,90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5F8093" w14:textId="51597864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1.645,00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41D4503C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916D68E" w14:textId="09CE44AD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1.645,00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4C31C75F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CBA73C9" w14:textId="6D982856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8.225,00</w:t>
            </w:r>
          </w:p>
        </w:tc>
      </w:tr>
      <w:tr w:rsidR="008944C4" w:rsidRPr="008944C4" w14:paraId="6E5B7909" w14:textId="77777777" w:rsidTr="008944C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262843C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877F3F2" w14:textId="77777777" w:rsidR="008944C4" w:rsidRPr="008944C4" w:rsidRDefault="008944C4" w:rsidP="008944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TELEFONE COM AS SEGUINTES ESPECIFICAÇÕES MÍNIMAS: - HEADSET COM MICROFONE CANCELADOR DE RUÍDOS - CONTROLE DIGITAL DO VOLUME DE </w:t>
            </w: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RECEPÇÃO - TECLADO EMBORRACHADO DE ALTA DURABILIDADE - 2 NÍVEIS DE CAMPAINHA E MODO DE ATENDIMENTO AUTOMÁTICO - TECLAS REDIAL, FLASH, MUTE E ON/OFF - CHAVES PARA AJUSTE DA CAMPAINHA, MODE E FLASH - DISCAGEM EM TOM E PULSO - LEDS IDENTIFICADORES PARA ON/OFF E MUTE - TEMPO DE FLASH DE 100, 300 E 600 MS DADOS TÉCNICOS: - CONTROLE DE VOLUME DE RECEPÇÃO: DIGITAL - IMPEDÂNCIA: 150 Ω ± 20 Ω - IMPEDÂNCIA MÁXIMA: 2200 Ω ± 15% - MICROFONE: CANCELADOR DE RUÍDO (NC) - RESPOSTA DE FREQUÊNCIA: 100-10000 HZ GARANTIA 12 MESES DE GARANTIA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CD67863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AD52FE8" w14:textId="02512788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9B84C4" w14:textId="330405E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2.980,00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7C41107E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722A1F0" w14:textId="488C04E8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2.980,00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36AB713E" w14:textId="77777777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A24376E" w14:textId="5D8CC2BE" w:rsidR="008944C4" w:rsidRPr="008944C4" w:rsidRDefault="008944C4" w:rsidP="008944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44C4">
              <w:rPr>
                <w:rFonts w:ascii="Cambria" w:hAnsi="Cambria" w:cs="Calibri"/>
                <w:color w:val="000000"/>
                <w:sz w:val="18"/>
                <w:szCs w:val="18"/>
              </w:rPr>
              <w:t>14.900,00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proofErr w:type="gramStart"/>
      <w:r w:rsidRPr="00EB78E9">
        <w:rPr>
          <w:rFonts w:ascii="Cambria" w:hAnsi="Cambria"/>
        </w:rPr>
        <w:noBreakHyphen/>
        <w:t xml:space="preserve"> Os</w:t>
      </w:r>
      <w:proofErr w:type="gramEnd"/>
      <w:r w:rsidRPr="00EB78E9">
        <w:rPr>
          <w:rFonts w:ascii="Cambria" w:hAnsi="Cambria"/>
        </w:rPr>
        <w:t xml:space="preserve">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Nos</w:t>
      </w:r>
      <w:proofErr w:type="gramEnd"/>
      <w:r w:rsidRPr="00EB78E9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Ocorrendo</w:t>
      </w:r>
      <w:proofErr w:type="gramEnd"/>
      <w:r w:rsidRPr="00EB78E9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76FE88FD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922F003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40672292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Se</w:t>
      </w:r>
      <w:proofErr w:type="gramEnd"/>
      <w:r w:rsidRPr="00EB78E9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Cada</w:t>
      </w:r>
      <w:proofErr w:type="gramEnd"/>
      <w:r w:rsidRPr="00EB78E9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78E9">
        <w:rPr>
          <w:rFonts w:ascii="Cambria" w:hAnsi="Cambria"/>
          <w:szCs w:val="24"/>
        </w:rPr>
        <w:t>á</w:t>
      </w:r>
      <w:proofErr w:type="spellEnd"/>
      <w:r w:rsidRPr="00EB78E9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EB78E9">
        <w:rPr>
          <w:rFonts w:ascii="Cambria" w:hAnsi="Cambria"/>
          <w:bCs/>
          <w:szCs w:val="24"/>
        </w:rPr>
        <w:lastRenderedPageBreak/>
        <w:t>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39B14F8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Considerado</w:t>
      </w:r>
      <w:proofErr w:type="gramEnd"/>
      <w:r w:rsidRPr="00EB78E9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Fica</w:t>
      </w:r>
      <w:proofErr w:type="gramEnd"/>
      <w:r w:rsidRPr="00EB78E9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50DCDE7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>
        <w:rPr>
          <w:rFonts w:ascii="Cambria" w:hAnsi="Cambria"/>
          <w:szCs w:val="24"/>
        </w:rPr>
        <w:t xml:space="preserve"> </w:t>
      </w:r>
      <w:r w:rsidRPr="00EB78E9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proofErr w:type="gramStart"/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5585A251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4C696E">
        <w:rPr>
          <w:rFonts w:ascii="Cambria" w:hAnsi="Cambria" w:cs="Arial"/>
        </w:rPr>
        <w:t>043/2022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5F99112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A90397">
        <w:rPr>
          <w:rFonts w:ascii="Cambria" w:hAnsi="Cambria"/>
          <w:szCs w:val="24"/>
        </w:rPr>
        <w:t>20 de junho de 2022.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6296AC1" w14:textId="77777777" w:rsidR="005E09F3" w:rsidRPr="005E09F3" w:rsidRDefault="005E09F3" w:rsidP="005E09F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5E09F3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5E09F3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6AF6A17A" w:rsidR="00961925" w:rsidRPr="009736BA" w:rsidRDefault="005843F9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 xml:space="preserve">ARJ Informática </w:t>
      </w:r>
      <w:r w:rsidR="007B4C4C">
        <w:rPr>
          <w:rFonts w:ascii="Cambria" w:hAnsi="Cambria" w:cs="Arial"/>
          <w:b/>
          <w:bCs/>
          <w:i/>
          <w:iCs/>
        </w:rPr>
        <w:t xml:space="preserve">e Acessórios </w:t>
      </w:r>
      <w:proofErr w:type="spellStart"/>
      <w:r w:rsidR="007B4C4C">
        <w:rPr>
          <w:rFonts w:ascii="Cambria" w:hAnsi="Cambria" w:cs="Arial"/>
          <w:b/>
          <w:bCs/>
          <w:i/>
          <w:iCs/>
        </w:rPr>
        <w:t>Eireli</w:t>
      </w:r>
      <w:proofErr w:type="spellEnd"/>
      <w:r w:rsidR="007B4C4C">
        <w:rPr>
          <w:rFonts w:ascii="Cambria" w:hAnsi="Cambria" w:cs="Arial"/>
          <w:b/>
          <w:bCs/>
          <w:i/>
          <w:iCs/>
        </w:rPr>
        <w:t xml:space="preserve"> – ME</w:t>
      </w:r>
    </w:p>
    <w:p w14:paraId="0745961C" w14:textId="0E1D1408" w:rsidR="005E09F3" w:rsidRPr="00EB78E9" w:rsidRDefault="005E09F3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7B4C4C">
        <w:rPr>
          <w:rFonts w:ascii="Cambria" w:hAnsi="Cambria" w:cs="Arial"/>
        </w:rPr>
        <w:t>27.379.480/0001-08</w:t>
      </w:r>
    </w:p>
    <w:sectPr w:rsidR="005E09F3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D917" w14:textId="77777777" w:rsidR="004C721B" w:rsidRDefault="004C721B">
      <w:r>
        <w:separator/>
      </w:r>
    </w:p>
  </w:endnote>
  <w:endnote w:type="continuationSeparator" w:id="0">
    <w:p w14:paraId="3077BAAD" w14:textId="77777777" w:rsidR="004C721B" w:rsidRDefault="004C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81A0" w14:textId="77777777" w:rsidR="004C721B" w:rsidRDefault="004C721B">
      <w:r>
        <w:separator/>
      </w:r>
    </w:p>
  </w:footnote>
  <w:footnote w:type="continuationSeparator" w:id="0">
    <w:p w14:paraId="7E8D4F3A" w14:textId="77777777" w:rsidR="004C721B" w:rsidRDefault="004C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C16E6"/>
    <w:rsid w:val="000C5344"/>
    <w:rsid w:val="000D2FA6"/>
    <w:rsid w:val="000D6446"/>
    <w:rsid w:val="000E3631"/>
    <w:rsid w:val="000E427B"/>
    <w:rsid w:val="000E479B"/>
    <w:rsid w:val="000E7CF4"/>
    <w:rsid w:val="0010144B"/>
    <w:rsid w:val="00114B8B"/>
    <w:rsid w:val="00114EF1"/>
    <w:rsid w:val="00133237"/>
    <w:rsid w:val="00161AE1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B76CC"/>
    <w:rsid w:val="001C70DE"/>
    <w:rsid w:val="001D46C5"/>
    <w:rsid w:val="001E1C31"/>
    <w:rsid w:val="001E4580"/>
    <w:rsid w:val="001E7926"/>
    <w:rsid w:val="00200713"/>
    <w:rsid w:val="002011C0"/>
    <w:rsid w:val="00205DD6"/>
    <w:rsid w:val="002075FE"/>
    <w:rsid w:val="00210FD8"/>
    <w:rsid w:val="00226FA9"/>
    <w:rsid w:val="00236D67"/>
    <w:rsid w:val="00237EAA"/>
    <w:rsid w:val="002476CF"/>
    <w:rsid w:val="00247BEF"/>
    <w:rsid w:val="0027092D"/>
    <w:rsid w:val="00273022"/>
    <w:rsid w:val="002757E8"/>
    <w:rsid w:val="002770C2"/>
    <w:rsid w:val="0028489E"/>
    <w:rsid w:val="002A01B8"/>
    <w:rsid w:val="002A50C7"/>
    <w:rsid w:val="002B522C"/>
    <w:rsid w:val="002B7728"/>
    <w:rsid w:val="002C349F"/>
    <w:rsid w:val="002C36F6"/>
    <w:rsid w:val="002C5D24"/>
    <w:rsid w:val="002D3DAC"/>
    <w:rsid w:val="002D638B"/>
    <w:rsid w:val="002E4F4B"/>
    <w:rsid w:val="002F023C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A22E9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3FEC"/>
    <w:rsid w:val="003F3FD2"/>
    <w:rsid w:val="003F46E8"/>
    <w:rsid w:val="003F55D1"/>
    <w:rsid w:val="004114C2"/>
    <w:rsid w:val="00417522"/>
    <w:rsid w:val="004236FC"/>
    <w:rsid w:val="00424897"/>
    <w:rsid w:val="00436084"/>
    <w:rsid w:val="00447CF8"/>
    <w:rsid w:val="004526D9"/>
    <w:rsid w:val="00453819"/>
    <w:rsid w:val="004539B5"/>
    <w:rsid w:val="0046055F"/>
    <w:rsid w:val="00460ED7"/>
    <w:rsid w:val="00480721"/>
    <w:rsid w:val="004868C0"/>
    <w:rsid w:val="004A0172"/>
    <w:rsid w:val="004A0C06"/>
    <w:rsid w:val="004B377B"/>
    <w:rsid w:val="004B39EA"/>
    <w:rsid w:val="004C3FB8"/>
    <w:rsid w:val="004C696E"/>
    <w:rsid w:val="004C721B"/>
    <w:rsid w:val="004D5CDA"/>
    <w:rsid w:val="004E220D"/>
    <w:rsid w:val="004E6A8A"/>
    <w:rsid w:val="004F10A0"/>
    <w:rsid w:val="004F29E5"/>
    <w:rsid w:val="004F42C4"/>
    <w:rsid w:val="004F7F5C"/>
    <w:rsid w:val="005012C1"/>
    <w:rsid w:val="00506972"/>
    <w:rsid w:val="005101A8"/>
    <w:rsid w:val="005301E1"/>
    <w:rsid w:val="00542B7A"/>
    <w:rsid w:val="00573148"/>
    <w:rsid w:val="005843F9"/>
    <w:rsid w:val="005937A6"/>
    <w:rsid w:val="005A0CC7"/>
    <w:rsid w:val="005A3440"/>
    <w:rsid w:val="005C2565"/>
    <w:rsid w:val="005E09F3"/>
    <w:rsid w:val="005E4232"/>
    <w:rsid w:val="005F1399"/>
    <w:rsid w:val="005F7E83"/>
    <w:rsid w:val="00612C56"/>
    <w:rsid w:val="00612E9B"/>
    <w:rsid w:val="0061458F"/>
    <w:rsid w:val="00614622"/>
    <w:rsid w:val="00647358"/>
    <w:rsid w:val="00647910"/>
    <w:rsid w:val="006520E6"/>
    <w:rsid w:val="00656F20"/>
    <w:rsid w:val="0066409A"/>
    <w:rsid w:val="006709C5"/>
    <w:rsid w:val="00676EF3"/>
    <w:rsid w:val="00680EA6"/>
    <w:rsid w:val="00691AB5"/>
    <w:rsid w:val="00694DC5"/>
    <w:rsid w:val="006A06B2"/>
    <w:rsid w:val="006A66E4"/>
    <w:rsid w:val="006C3979"/>
    <w:rsid w:val="006C458A"/>
    <w:rsid w:val="006C6D16"/>
    <w:rsid w:val="006D7103"/>
    <w:rsid w:val="006D74E5"/>
    <w:rsid w:val="006E6F38"/>
    <w:rsid w:val="006E7153"/>
    <w:rsid w:val="006F2190"/>
    <w:rsid w:val="006F2F8D"/>
    <w:rsid w:val="006F458E"/>
    <w:rsid w:val="006F7A8F"/>
    <w:rsid w:val="006F7B8E"/>
    <w:rsid w:val="006F7D62"/>
    <w:rsid w:val="00707386"/>
    <w:rsid w:val="007113D4"/>
    <w:rsid w:val="007301AD"/>
    <w:rsid w:val="007460B9"/>
    <w:rsid w:val="0075147A"/>
    <w:rsid w:val="00752E08"/>
    <w:rsid w:val="00755E81"/>
    <w:rsid w:val="007566EC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B19"/>
    <w:rsid w:val="007B3098"/>
    <w:rsid w:val="007B4C4C"/>
    <w:rsid w:val="007B5DF6"/>
    <w:rsid w:val="007C2B14"/>
    <w:rsid w:val="007D123F"/>
    <w:rsid w:val="007D35B8"/>
    <w:rsid w:val="007D579F"/>
    <w:rsid w:val="007E65F8"/>
    <w:rsid w:val="007E7333"/>
    <w:rsid w:val="007F6918"/>
    <w:rsid w:val="008014E1"/>
    <w:rsid w:val="008020A0"/>
    <w:rsid w:val="00804E05"/>
    <w:rsid w:val="00807240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44C4"/>
    <w:rsid w:val="00896372"/>
    <w:rsid w:val="008A338A"/>
    <w:rsid w:val="008A4BCA"/>
    <w:rsid w:val="008B23CA"/>
    <w:rsid w:val="008B358F"/>
    <w:rsid w:val="008C7DE4"/>
    <w:rsid w:val="008D2D20"/>
    <w:rsid w:val="008D6E6C"/>
    <w:rsid w:val="008E1FF8"/>
    <w:rsid w:val="008E3AFA"/>
    <w:rsid w:val="008E594C"/>
    <w:rsid w:val="00900A6E"/>
    <w:rsid w:val="009345DA"/>
    <w:rsid w:val="00934867"/>
    <w:rsid w:val="00940302"/>
    <w:rsid w:val="00943151"/>
    <w:rsid w:val="009513FC"/>
    <w:rsid w:val="00951A08"/>
    <w:rsid w:val="009615FB"/>
    <w:rsid w:val="00961925"/>
    <w:rsid w:val="009736BA"/>
    <w:rsid w:val="00980456"/>
    <w:rsid w:val="00981FB8"/>
    <w:rsid w:val="009A4A47"/>
    <w:rsid w:val="009A6E56"/>
    <w:rsid w:val="009B1C3D"/>
    <w:rsid w:val="009C09EF"/>
    <w:rsid w:val="009C527E"/>
    <w:rsid w:val="009D0A08"/>
    <w:rsid w:val="009D484C"/>
    <w:rsid w:val="009F2283"/>
    <w:rsid w:val="00A0436C"/>
    <w:rsid w:val="00A0586B"/>
    <w:rsid w:val="00A06D64"/>
    <w:rsid w:val="00A15133"/>
    <w:rsid w:val="00A221DC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30C6"/>
    <w:rsid w:val="00A644AA"/>
    <w:rsid w:val="00A64F5E"/>
    <w:rsid w:val="00A71E72"/>
    <w:rsid w:val="00A82C66"/>
    <w:rsid w:val="00A90397"/>
    <w:rsid w:val="00A91FE9"/>
    <w:rsid w:val="00A961CA"/>
    <w:rsid w:val="00A97C05"/>
    <w:rsid w:val="00AA16E7"/>
    <w:rsid w:val="00AA5F0B"/>
    <w:rsid w:val="00AC0E53"/>
    <w:rsid w:val="00AC65DE"/>
    <w:rsid w:val="00AC7096"/>
    <w:rsid w:val="00AD0F4F"/>
    <w:rsid w:val="00AD2662"/>
    <w:rsid w:val="00AF067F"/>
    <w:rsid w:val="00AF2237"/>
    <w:rsid w:val="00B00BE4"/>
    <w:rsid w:val="00B02C73"/>
    <w:rsid w:val="00B27EB9"/>
    <w:rsid w:val="00B328B9"/>
    <w:rsid w:val="00B32E89"/>
    <w:rsid w:val="00B92C88"/>
    <w:rsid w:val="00B940AC"/>
    <w:rsid w:val="00BA129C"/>
    <w:rsid w:val="00BA3FC8"/>
    <w:rsid w:val="00BA623F"/>
    <w:rsid w:val="00BC453C"/>
    <w:rsid w:val="00BD06EE"/>
    <w:rsid w:val="00C046C5"/>
    <w:rsid w:val="00C10878"/>
    <w:rsid w:val="00C22D44"/>
    <w:rsid w:val="00C275E2"/>
    <w:rsid w:val="00C31066"/>
    <w:rsid w:val="00C33665"/>
    <w:rsid w:val="00C3759E"/>
    <w:rsid w:val="00C37DC7"/>
    <w:rsid w:val="00C513D4"/>
    <w:rsid w:val="00C63014"/>
    <w:rsid w:val="00C73E94"/>
    <w:rsid w:val="00C741A4"/>
    <w:rsid w:val="00C7580C"/>
    <w:rsid w:val="00C764F9"/>
    <w:rsid w:val="00C80443"/>
    <w:rsid w:val="00CA18BE"/>
    <w:rsid w:val="00CC0DAF"/>
    <w:rsid w:val="00CD19D5"/>
    <w:rsid w:val="00CE7F25"/>
    <w:rsid w:val="00CF5B1A"/>
    <w:rsid w:val="00D01E09"/>
    <w:rsid w:val="00D17C0D"/>
    <w:rsid w:val="00D233F1"/>
    <w:rsid w:val="00D31BF6"/>
    <w:rsid w:val="00D358F0"/>
    <w:rsid w:val="00D505CA"/>
    <w:rsid w:val="00D5154D"/>
    <w:rsid w:val="00D55E83"/>
    <w:rsid w:val="00D66934"/>
    <w:rsid w:val="00D83426"/>
    <w:rsid w:val="00D85C00"/>
    <w:rsid w:val="00DC18A7"/>
    <w:rsid w:val="00DE2653"/>
    <w:rsid w:val="00DE3EED"/>
    <w:rsid w:val="00DE67DD"/>
    <w:rsid w:val="00DF1244"/>
    <w:rsid w:val="00DF46D5"/>
    <w:rsid w:val="00E14E84"/>
    <w:rsid w:val="00E24778"/>
    <w:rsid w:val="00E41EEF"/>
    <w:rsid w:val="00E548A9"/>
    <w:rsid w:val="00E62D52"/>
    <w:rsid w:val="00E83D4F"/>
    <w:rsid w:val="00EB2761"/>
    <w:rsid w:val="00EB3B2C"/>
    <w:rsid w:val="00EB78E9"/>
    <w:rsid w:val="00EC47D8"/>
    <w:rsid w:val="00EC4F0A"/>
    <w:rsid w:val="00EE09C2"/>
    <w:rsid w:val="00EE128B"/>
    <w:rsid w:val="00EE2DB2"/>
    <w:rsid w:val="00EE42E9"/>
    <w:rsid w:val="00F04523"/>
    <w:rsid w:val="00F07077"/>
    <w:rsid w:val="00F1182B"/>
    <w:rsid w:val="00F156F1"/>
    <w:rsid w:val="00F21695"/>
    <w:rsid w:val="00F255A0"/>
    <w:rsid w:val="00F263B2"/>
    <w:rsid w:val="00F30910"/>
    <w:rsid w:val="00F32291"/>
    <w:rsid w:val="00F330D2"/>
    <w:rsid w:val="00F52F4C"/>
    <w:rsid w:val="00F6526E"/>
    <w:rsid w:val="00F71E73"/>
    <w:rsid w:val="00F83F8D"/>
    <w:rsid w:val="00F858CD"/>
    <w:rsid w:val="00F96A5D"/>
    <w:rsid w:val="00FB3378"/>
    <w:rsid w:val="00FB4EAF"/>
    <w:rsid w:val="00FB7541"/>
    <w:rsid w:val="00FC20C9"/>
    <w:rsid w:val="00FC22C6"/>
    <w:rsid w:val="00FC31BA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2354</Words>
  <Characters>12714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2022-06-20T11:45:00Z</cp:lastPrinted>
  <dcterms:created xsi:type="dcterms:W3CDTF">2022-06-20T18:47:00Z</dcterms:created>
  <dcterms:modified xsi:type="dcterms:W3CDTF">2022-06-20T18:52:00Z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