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B31F3" w14:textId="56606650" w:rsidR="00961925" w:rsidRPr="0073039C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PROCESSO LICITATÓRIO Nº </w:t>
      </w:r>
      <w:r w:rsidR="00A961CA" w:rsidRPr="0073039C">
        <w:rPr>
          <w:rFonts w:ascii="Cambria" w:hAnsi="Cambria"/>
          <w:b/>
          <w:szCs w:val="24"/>
        </w:rPr>
        <w:t>046/2022</w:t>
      </w:r>
    </w:p>
    <w:p w14:paraId="46DB31F4" w14:textId="3FF7312F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PREGÃO PRESENCIAL Nº </w:t>
      </w:r>
      <w:r w:rsidR="00A961CA" w:rsidRPr="0073039C">
        <w:rPr>
          <w:rFonts w:ascii="Cambria" w:hAnsi="Cambria"/>
          <w:b/>
          <w:szCs w:val="24"/>
        </w:rPr>
        <w:t>024/2022</w:t>
      </w:r>
    </w:p>
    <w:p w14:paraId="46DB31F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73039C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A" w14:textId="58473C66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ATA DE REGISTRO DE PREÇOS Nº </w:t>
      </w:r>
      <w:r w:rsidR="004C3FB8" w:rsidRPr="0073039C">
        <w:rPr>
          <w:rFonts w:ascii="Cambria" w:hAnsi="Cambria"/>
          <w:szCs w:val="24"/>
        </w:rPr>
        <w:t>018/2022</w:t>
      </w:r>
      <w:r w:rsidRPr="0073039C">
        <w:rPr>
          <w:rFonts w:ascii="Cambria" w:hAnsi="Cambria"/>
          <w:szCs w:val="24"/>
        </w:rPr>
        <w:t>.</w:t>
      </w:r>
    </w:p>
    <w:p w14:paraId="46DB31FB" w14:textId="2BD1F7B3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.</w:t>
      </w:r>
    </w:p>
    <w:p w14:paraId="46DB31FC" w14:textId="3DF9756C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PROCESSO Nº </w:t>
      </w:r>
      <w:r w:rsidR="00A961CA" w:rsidRPr="0073039C">
        <w:rPr>
          <w:rFonts w:ascii="Cambria" w:hAnsi="Cambria"/>
          <w:szCs w:val="24"/>
        </w:rPr>
        <w:t>046/2022</w:t>
      </w:r>
      <w:r w:rsidRPr="0073039C">
        <w:rPr>
          <w:rFonts w:ascii="Cambria" w:hAnsi="Cambria"/>
          <w:szCs w:val="24"/>
        </w:rPr>
        <w:t>.</w:t>
      </w:r>
    </w:p>
    <w:p w14:paraId="46DB31F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VALIDADE: 12 meses.</w:t>
      </w:r>
    </w:p>
    <w:p w14:paraId="46DB31FF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01" w14:textId="11CAF47C"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 xml:space="preserve">Aos </w:t>
      </w:r>
      <w:r w:rsidR="00B22ED5" w:rsidRPr="0073039C">
        <w:rPr>
          <w:rFonts w:ascii="Cambria" w:hAnsi="Cambria" w:cs="Arial"/>
        </w:rPr>
        <w:t>11 (onze)</w:t>
      </w:r>
      <w:r w:rsidRPr="0073039C">
        <w:rPr>
          <w:rFonts w:ascii="Cambria" w:hAnsi="Cambria" w:cs="Arial"/>
        </w:rPr>
        <w:t xml:space="preserve"> dias do mês </w:t>
      </w:r>
      <w:r w:rsidR="00B22ED5" w:rsidRPr="0073039C">
        <w:rPr>
          <w:rFonts w:ascii="Cambria" w:hAnsi="Cambria" w:cs="Arial"/>
        </w:rPr>
        <w:t>de maio de 2022</w:t>
      </w:r>
      <w:r w:rsidRPr="0073039C">
        <w:rPr>
          <w:rFonts w:ascii="Cambria" w:hAnsi="Cambria" w:cs="Arial"/>
        </w:rPr>
        <w:t xml:space="preserve">, na sala de licitações, na sede da Prefeitura Municipal, situada na </w:t>
      </w:r>
      <w:r w:rsidR="00607FBC" w:rsidRPr="0073039C">
        <w:rPr>
          <w:rFonts w:ascii="Cambria" w:hAnsi="Cambria" w:cs="Arial"/>
        </w:rPr>
        <w:t>Avenida Francisco Valadares da Fonseca, nº. 250, bairro Vasco Lopes, Papagaios/MG, CEP 35.669-000</w:t>
      </w:r>
      <w:r w:rsidRPr="0073039C">
        <w:rPr>
          <w:rFonts w:ascii="Cambria" w:hAnsi="Cambria" w:cs="Arial"/>
        </w:rPr>
        <w:t xml:space="preserve">, o Exmo. Sr. Prefeito Municipal, Sr. </w:t>
      </w:r>
      <w:r w:rsidR="00DF35F7" w:rsidRPr="0073039C">
        <w:rPr>
          <w:rFonts w:ascii="Cambria" w:hAnsi="Cambria" w:cs="Arial"/>
        </w:rPr>
        <w:t xml:space="preserve">Mário Reis </w:t>
      </w:r>
      <w:proofErr w:type="spellStart"/>
      <w:r w:rsidR="00DF35F7" w:rsidRPr="0073039C">
        <w:rPr>
          <w:rFonts w:ascii="Cambria" w:hAnsi="Cambria" w:cs="Arial"/>
        </w:rPr>
        <w:t>Filgueiras</w:t>
      </w:r>
      <w:proofErr w:type="spellEnd"/>
      <w:r w:rsidRPr="0073039C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A961CA" w:rsidRPr="0073039C">
        <w:rPr>
          <w:rFonts w:ascii="Cambria" w:hAnsi="Cambria" w:cs="Arial"/>
        </w:rPr>
        <w:t>024/2022</w:t>
      </w:r>
      <w:r w:rsidRPr="0073039C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A961CA" w:rsidRPr="0073039C">
        <w:rPr>
          <w:rFonts w:ascii="Cambria" w:hAnsi="Cambria" w:cs="Arial"/>
        </w:rPr>
        <w:t>046/2022</w:t>
      </w:r>
      <w:r w:rsidRPr="0073039C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394424">
        <w:rPr>
          <w:rFonts w:ascii="Cambria" w:hAnsi="Cambria" w:cs="Arial"/>
          <w:b/>
          <w:bCs/>
        </w:rPr>
        <w:t>EMENA</w:t>
      </w:r>
      <w:r w:rsidR="00844ED6">
        <w:rPr>
          <w:rFonts w:ascii="Cambria" w:hAnsi="Cambria" w:cs="Arial"/>
          <w:b/>
          <w:bCs/>
        </w:rPr>
        <w:t>L</w:t>
      </w:r>
      <w:r w:rsidR="004E7816">
        <w:rPr>
          <w:rFonts w:ascii="Cambria" w:hAnsi="Cambria" w:cs="Arial"/>
          <w:b/>
          <w:bCs/>
        </w:rPr>
        <w:t>I MEDICAL LTDA</w:t>
      </w:r>
      <w:r w:rsidR="00D20A11">
        <w:rPr>
          <w:rFonts w:ascii="Cambria" w:hAnsi="Cambria" w:cs="Arial"/>
          <w:b/>
          <w:bCs/>
        </w:rPr>
        <w:t>-EPP</w:t>
      </w:r>
      <w:r w:rsidRPr="0073039C">
        <w:rPr>
          <w:rFonts w:ascii="Cambria" w:hAnsi="Cambria" w:cs="Arial"/>
        </w:rPr>
        <w:t xml:space="preserve">, localizado na </w:t>
      </w:r>
      <w:r w:rsidR="00DA0925" w:rsidRPr="0073039C">
        <w:rPr>
          <w:rFonts w:ascii="Cambria" w:hAnsi="Cambria" w:cs="Arial"/>
        </w:rPr>
        <w:t xml:space="preserve">Rua </w:t>
      </w:r>
      <w:r w:rsidR="004E7816">
        <w:rPr>
          <w:rFonts w:ascii="Cambria" w:hAnsi="Cambria" w:cs="Arial"/>
        </w:rPr>
        <w:t>Diamante</w:t>
      </w:r>
      <w:r w:rsidR="00DA0925" w:rsidRPr="0073039C">
        <w:rPr>
          <w:rFonts w:ascii="Cambria" w:hAnsi="Cambria" w:cs="Arial"/>
        </w:rPr>
        <w:t xml:space="preserve">, nº. </w:t>
      </w:r>
      <w:r w:rsidR="004E7816">
        <w:rPr>
          <w:rFonts w:ascii="Cambria" w:hAnsi="Cambria" w:cs="Arial"/>
        </w:rPr>
        <w:t>478</w:t>
      </w:r>
      <w:r w:rsidR="00DA0925" w:rsidRPr="0073039C">
        <w:rPr>
          <w:rFonts w:ascii="Cambria" w:hAnsi="Cambria" w:cs="Arial"/>
        </w:rPr>
        <w:t xml:space="preserve">, bairro </w:t>
      </w:r>
      <w:r w:rsidR="004E7816">
        <w:rPr>
          <w:rFonts w:ascii="Cambria" w:hAnsi="Cambria" w:cs="Arial"/>
        </w:rPr>
        <w:t xml:space="preserve">Arvoredo 2A </w:t>
      </w:r>
      <w:r w:rsidR="00B520ED">
        <w:rPr>
          <w:rFonts w:ascii="Cambria" w:hAnsi="Cambria" w:cs="Arial"/>
        </w:rPr>
        <w:t>Secao,</w:t>
      </w:r>
      <w:r w:rsidR="004E7816">
        <w:rPr>
          <w:rFonts w:ascii="Cambria" w:hAnsi="Cambria" w:cs="Arial"/>
        </w:rPr>
        <w:t xml:space="preserve"> Contagem</w:t>
      </w:r>
      <w:r w:rsidR="00934E1A" w:rsidRPr="0073039C">
        <w:rPr>
          <w:rFonts w:ascii="Cambria" w:hAnsi="Cambria" w:cs="Arial"/>
        </w:rPr>
        <w:t xml:space="preserve">/MG, CEP </w:t>
      </w:r>
      <w:r w:rsidR="004E7816">
        <w:rPr>
          <w:rFonts w:ascii="Cambria" w:hAnsi="Cambria" w:cs="Arial"/>
        </w:rPr>
        <w:t>32.113-000</w:t>
      </w:r>
      <w:r w:rsidRPr="0073039C">
        <w:rPr>
          <w:rFonts w:ascii="Cambria" w:hAnsi="Cambria" w:cs="Arial"/>
        </w:rPr>
        <w:t xml:space="preserve">, cujo CNPJ é </w:t>
      </w:r>
      <w:r w:rsidR="004E7816">
        <w:rPr>
          <w:rFonts w:ascii="Cambria" w:hAnsi="Cambria" w:cs="Arial"/>
        </w:rPr>
        <w:t>13.694.036/0001-64</w:t>
      </w:r>
      <w:r w:rsidRPr="0073039C">
        <w:rPr>
          <w:rFonts w:ascii="Cambria" w:hAnsi="Cambria" w:cs="Arial"/>
        </w:rPr>
        <w:t xml:space="preserve">, neste ato representado por </w:t>
      </w:r>
      <w:proofErr w:type="spellStart"/>
      <w:r w:rsidR="008A1784">
        <w:rPr>
          <w:rFonts w:ascii="Cambria" w:hAnsi="Cambria" w:cs="Arial"/>
        </w:rPr>
        <w:t>Regiani</w:t>
      </w:r>
      <w:proofErr w:type="spellEnd"/>
      <w:r w:rsidR="008A1784">
        <w:rPr>
          <w:rFonts w:ascii="Cambria" w:hAnsi="Cambria" w:cs="Arial"/>
        </w:rPr>
        <w:t xml:space="preserve"> </w:t>
      </w:r>
      <w:proofErr w:type="spellStart"/>
      <w:r w:rsidR="008A1784">
        <w:rPr>
          <w:rFonts w:ascii="Cambria" w:hAnsi="Cambria" w:cs="Arial"/>
        </w:rPr>
        <w:t>Menali</w:t>
      </w:r>
      <w:proofErr w:type="spellEnd"/>
      <w:r w:rsidR="008A1784">
        <w:rPr>
          <w:rFonts w:ascii="Cambria" w:hAnsi="Cambria" w:cs="Arial"/>
        </w:rPr>
        <w:t xml:space="preserve"> Rodrigues Pereira</w:t>
      </w:r>
      <w:r w:rsidR="00A068CE" w:rsidRPr="0073039C">
        <w:rPr>
          <w:rFonts w:ascii="Cambria" w:hAnsi="Cambria" w:cs="Arial"/>
        </w:rPr>
        <w:t xml:space="preserve">, inscrito no CPF/MF </w:t>
      </w:r>
      <w:r w:rsidR="008A1784">
        <w:rPr>
          <w:rFonts w:ascii="Cambria" w:hAnsi="Cambria" w:cs="Arial"/>
        </w:rPr>
        <w:t>055.351.276-55</w:t>
      </w:r>
      <w:r w:rsidRPr="0073039C">
        <w:rPr>
          <w:rFonts w:ascii="Cambria" w:hAnsi="Cambria" w:cs="Arial"/>
        </w:rPr>
        <w:t>, conforme quadro abaixo:</w:t>
      </w:r>
    </w:p>
    <w:p w14:paraId="663F80A1" w14:textId="77777777" w:rsidR="00B520ED" w:rsidRPr="0073039C" w:rsidRDefault="00B520ED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593"/>
        <w:gridCol w:w="858"/>
        <w:gridCol w:w="776"/>
        <w:gridCol w:w="916"/>
        <w:gridCol w:w="858"/>
        <w:gridCol w:w="912"/>
        <w:gridCol w:w="858"/>
        <w:gridCol w:w="1012"/>
      </w:tblGrid>
      <w:tr w:rsidR="00B520ED" w:rsidRPr="00B520ED" w14:paraId="6DAA73A8" w14:textId="77777777" w:rsidTr="00B520ED">
        <w:trPr>
          <w:trHeight w:val="23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8080" w14:textId="77777777" w:rsidR="00B520ED" w:rsidRPr="00B520ED" w:rsidRDefault="00B520ED" w:rsidP="00B520E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6E2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5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8169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B520ED" w:rsidRPr="00B520ED" w14:paraId="462C9B9D" w14:textId="77777777" w:rsidTr="00B520ED">
        <w:trPr>
          <w:trHeight w:val="234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DE0E" w14:textId="77777777" w:rsidR="00B520ED" w:rsidRPr="00B520ED" w:rsidRDefault="00B520ED" w:rsidP="00B520E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99D3" w14:textId="77777777" w:rsidR="00B520ED" w:rsidRPr="00B520ED" w:rsidRDefault="00B520ED" w:rsidP="00B520E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BC0C37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2D8EA4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C622AA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B520ED" w:rsidRPr="00B520ED" w14:paraId="3F73481E" w14:textId="77777777" w:rsidTr="00B520ED">
        <w:trPr>
          <w:trHeight w:val="276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B74B" w14:textId="77777777" w:rsidR="00B520ED" w:rsidRPr="00B520ED" w:rsidRDefault="00B520ED" w:rsidP="00B520E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893F" w14:textId="77777777" w:rsidR="00B520ED" w:rsidRPr="00B520ED" w:rsidRDefault="00B520ED" w:rsidP="00B520E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BF6ED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  <w:proofErr w:type="gramEnd"/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CAF0E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44E1B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5271F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A8469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69A2B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53E4A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B520ED" w:rsidRPr="00B520ED" w14:paraId="7AC655E4" w14:textId="77777777" w:rsidTr="00B520ED">
        <w:trPr>
          <w:trHeight w:val="276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7952" w14:textId="77777777" w:rsidR="00B520ED" w:rsidRPr="00B520ED" w:rsidRDefault="00B520ED" w:rsidP="00B520E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1123" w14:textId="77777777" w:rsidR="00B520ED" w:rsidRPr="00B520ED" w:rsidRDefault="00B520ED" w:rsidP="00B520E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3718" w14:textId="77777777" w:rsidR="00B520ED" w:rsidRPr="00B520ED" w:rsidRDefault="00B520ED" w:rsidP="00B520E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6338" w14:textId="77777777" w:rsidR="00B520ED" w:rsidRPr="00B520ED" w:rsidRDefault="00B520ED" w:rsidP="00B520E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2A78" w14:textId="77777777" w:rsidR="00B520ED" w:rsidRPr="00B520ED" w:rsidRDefault="00B520ED" w:rsidP="00B520E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103D" w14:textId="77777777" w:rsidR="00B520ED" w:rsidRPr="00B520ED" w:rsidRDefault="00B520ED" w:rsidP="00B520E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DB69" w14:textId="77777777" w:rsidR="00B520ED" w:rsidRPr="00B520ED" w:rsidRDefault="00B520ED" w:rsidP="00B520E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3086" w14:textId="77777777" w:rsidR="00B520ED" w:rsidRPr="00B520ED" w:rsidRDefault="00B520ED" w:rsidP="00B520E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554D" w14:textId="77777777" w:rsidR="00B520ED" w:rsidRPr="00B520ED" w:rsidRDefault="00B520ED" w:rsidP="00B520E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B520ED" w:rsidRPr="00B520ED" w14:paraId="6BC2063F" w14:textId="77777777" w:rsidTr="00B520ED">
        <w:trPr>
          <w:trHeight w:val="74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13D3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5334" w14:textId="77777777" w:rsidR="00B520ED" w:rsidRPr="00B520ED" w:rsidRDefault="00B520ED" w:rsidP="00B520E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B520ED">
              <w:rPr>
                <w:rFonts w:ascii="Cambria" w:hAnsi="Cambria" w:cs="Calibri"/>
                <w:color w:val="000000"/>
                <w:sz w:val="20"/>
              </w:rPr>
              <w:t>COLETOR DE URINA SISTEMA ABERTO TIPO GARRAFA COM CAPACIDADE DE 1.200 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CBA7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B520ED">
              <w:rPr>
                <w:rFonts w:ascii="Cambria" w:hAnsi="Cambria" w:cs="Calibri"/>
                <w:color w:val="000000"/>
                <w:sz w:val="20"/>
              </w:rPr>
              <w:t>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B6BB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 4,18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327E2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836,00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DDFF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51C2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836,00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5C4F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44ED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4.180,00 </w:t>
            </w:r>
          </w:p>
        </w:tc>
      </w:tr>
      <w:tr w:rsidR="00B520ED" w:rsidRPr="00B520ED" w14:paraId="26BFD8B2" w14:textId="77777777" w:rsidTr="00B520ED">
        <w:trPr>
          <w:trHeight w:val="249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8A0A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4B85" w14:textId="77777777" w:rsidR="00B520ED" w:rsidRPr="00B520ED" w:rsidRDefault="00B520ED" w:rsidP="00B520ED">
            <w:pPr>
              <w:jc w:val="both"/>
              <w:rPr>
                <w:rFonts w:ascii="Cambria" w:hAnsi="Cambria" w:cs="Calibri"/>
                <w:b/>
                <w:bCs/>
                <w:color w:val="000000"/>
                <w:sz w:val="20"/>
              </w:rPr>
            </w:pPr>
            <w:r w:rsidRPr="00B520ED">
              <w:rPr>
                <w:rFonts w:ascii="Cambria" w:hAnsi="Cambria" w:cs="Calibri"/>
                <w:b/>
                <w:bCs/>
                <w:color w:val="000000"/>
                <w:sz w:val="20"/>
              </w:rPr>
              <w:t xml:space="preserve">FIO SEDA </w:t>
            </w:r>
            <w:r w:rsidRPr="00B520ED">
              <w:rPr>
                <w:rFonts w:ascii="Cambria" w:hAnsi="Cambria" w:cs="Calibri"/>
                <w:color w:val="000000"/>
                <w:sz w:val="20"/>
              </w:rPr>
              <w:t xml:space="preserve">FIO SEDA PARA SUTURA SENDO PROVIDOS DE AGULHAS CIRÚRGICAS DE AÇO INOX CIRCULAR CILINDRICA. O PRODUTO </w:t>
            </w:r>
            <w:proofErr w:type="gramStart"/>
            <w:r w:rsidRPr="00B520ED">
              <w:rPr>
                <w:rFonts w:ascii="Cambria" w:hAnsi="Cambria" w:cs="Calibri"/>
                <w:color w:val="000000"/>
                <w:sz w:val="20"/>
              </w:rPr>
              <w:t>DEVERA  ATENDER</w:t>
            </w:r>
            <w:proofErr w:type="gramEnd"/>
            <w:r w:rsidRPr="00B520ED">
              <w:rPr>
                <w:rFonts w:ascii="Cambria" w:hAnsi="Cambria" w:cs="Calibri"/>
                <w:color w:val="000000"/>
                <w:sz w:val="20"/>
              </w:rPr>
              <w:t xml:space="preserve"> AS ESPECIFICAÇÕES DA NBR 13904 DA ABNT - ASSOCIAÇÃO BRASILEIRA DE NORMAS TÉCNICAS E FARMACOPÉIA BRASILEIRA PARA SUTURAS CIRÚRGICAS NÃO ABSORVÍVEIS.   Nº 5-0.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F566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B520ED">
              <w:rPr>
                <w:rFonts w:ascii="Cambria" w:hAnsi="Cambria" w:cs="Calibri"/>
                <w:color w:val="000000"/>
                <w:sz w:val="20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19DB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52,90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AB32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1.058,00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5F52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DBE7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1.058,00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045C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1649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5.290,00 </w:t>
            </w:r>
          </w:p>
        </w:tc>
      </w:tr>
      <w:tr w:rsidR="00B520ED" w:rsidRPr="00B520ED" w14:paraId="13523BC2" w14:textId="77777777" w:rsidTr="00B520ED">
        <w:trPr>
          <w:trHeight w:val="174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E6FA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D526" w14:textId="77777777" w:rsidR="00B520ED" w:rsidRPr="00B520ED" w:rsidRDefault="00B520ED" w:rsidP="00B520E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B520ED">
              <w:rPr>
                <w:rFonts w:ascii="Cambria" w:hAnsi="Cambria" w:cs="Calibri"/>
                <w:color w:val="000000"/>
                <w:sz w:val="20"/>
              </w:rPr>
              <w:t>PAPEL SMS WRAP. CONFECCIONADO 100% POLIPROPILENO, COMPOSTAS POR 3 CAMADAS SPUNBONDED MELTBLOW SPUNBONDED (SMS). BARREIRA MICROBIANA. RESISTÊNCIA. MALEABILIDADE – CAIXA 30X30 C/100 UND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BB7E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B520ED">
              <w:rPr>
                <w:rFonts w:ascii="Cambria" w:hAnsi="Cambria" w:cs="Calibri"/>
                <w:color w:val="000000"/>
                <w:sz w:val="20"/>
              </w:rPr>
              <w:t>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9C73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17,20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D326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1.720,00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3DE2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E238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1.720,00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2D06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31F3C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8.600,00 </w:t>
            </w:r>
          </w:p>
        </w:tc>
      </w:tr>
      <w:tr w:rsidR="00B520ED" w:rsidRPr="00B520ED" w14:paraId="60E469E1" w14:textId="77777777" w:rsidTr="00B520ED">
        <w:trPr>
          <w:trHeight w:val="174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37CC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8167" w14:textId="77777777" w:rsidR="00B520ED" w:rsidRPr="00B520ED" w:rsidRDefault="00B520ED" w:rsidP="00B520E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B520ED">
              <w:rPr>
                <w:rFonts w:ascii="Cambria" w:hAnsi="Cambria" w:cs="Calibri"/>
                <w:color w:val="000000"/>
                <w:sz w:val="20"/>
              </w:rPr>
              <w:t>PAPEL SMS WRAP. CONFECCIONADO 100% POLIPROPILENO, COMPOSTAS POR 3 CAMADAS SPUNBONDED MELTBLOW SPUNBONDED (SMS). BARREIRA MICROBIANA. RESISTÊNCIA. MALEABILIDADE - CAIXA 40X40 C/100 UND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FC4D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B520ED">
              <w:rPr>
                <w:rFonts w:ascii="Cambria" w:hAnsi="Cambria" w:cs="Calibri"/>
                <w:color w:val="000000"/>
                <w:sz w:val="20"/>
              </w:rPr>
              <w:t>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CC12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33,00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ADED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4.950,00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1957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9F9F1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4.950,00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7C80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0E32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24.750,00 </w:t>
            </w:r>
          </w:p>
        </w:tc>
      </w:tr>
      <w:tr w:rsidR="00B520ED" w:rsidRPr="00B520ED" w14:paraId="0563FD11" w14:textId="77777777" w:rsidTr="00B520ED">
        <w:trPr>
          <w:trHeight w:val="174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D526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E8AB" w14:textId="77777777" w:rsidR="00B520ED" w:rsidRPr="00B520ED" w:rsidRDefault="00B520ED" w:rsidP="00B520E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B520ED">
              <w:rPr>
                <w:rFonts w:ascii="Cambria" w:hAnsi="Cambria" w:cs="Calibri"/>
                <w:color w:val="000000"/>
                <w:sz w:val="20"/>
              </w:rPr>
              <w:t>PAPEL SMS WRAP. CONFECCIONADO 100% POLIPROPILENO, COMPOSTAS POR 3 CAMADAS SPUNBONDED MELTBLOW SPUNBONDED (SMS). BARREIRA MICROBIANA. RESISTÊNCIA. MALEABILIDADE - CAIXA 75X75 C/100 UND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EE78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B520ED">
              <w:rPr>
                <w:rFonts w:ascii="Cambria" w:hAnsi="Cambria" w:cs="Calibri"/>
                <w:color w:val="000000"/>
                <w:sz w:val="20"/>
              </w:rPr>
              <w:t>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3F4C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113,00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07F2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16.950,00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B7BE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DABEB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16.950,00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438B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F7ED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84.750,00 </w:t>
            </w:r>
          </w:p>
        </w:tc>
      </w:tr>
      <w:tr w:rsidR="00B520ED" w:rsidRPr="00B520ED" w14:paraId="7E3FFEFC" w14:textId="77777777" w:rsidTr="00B520ED">
        <w:trPr>
          <w:trHeight w:val="174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30F7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71FD" w14:textId="77777777" w:rsidR="00B520ED" w:rsidRPr="00B520ED" w:rsidRDefault="00B520ED" w:rsidP="00B520E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B520ED">
              <w:rPr>
                <w:rFonts w:ascii="Cambria" w:hAnsi="Cambria" w:cs="Calibri"/>
                <w:color w:val="000000"/>
                <w:sz w:val="20"/>
              </w:rPr>
              <w:t>PAPEL SMS WRAP. CONFECCIONADO 100% POLIPROPILENO, COMPOSTAS POR 3 CAMADAS SPUNBONDED MELTBLOW SPUNBONDED (SMS). BARREIRA MICROBIANA. RESISTÊNCIA. MALEABILIDADE - CAIXA 90X90 C/100 UND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ACDC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B520ED">
              <w:rPr>
                <w:rFonts w:ascii="Cambria" w:hAnsi="Cambria" w:cs="Calibri"/>
                <w:color w:val="000000"/>
                <w:sz w:val="20"/>
              </w:rPr>
              <w:t>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455F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166,00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1200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33.200,00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3E39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01B4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33.200,00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0692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E102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166.000,00 </w:t>
            </w:r>
          </w:p>
        </w:tc>
      </w:tr>
      <w:tr w:rsidR="00B520ED" w:rsidRPr="00B520ED" w14:paraId="656B317A" w14:textId="77777777" w:rsidTr="00B520ED">
        <w:trPr>
          <w:trHeight w:val="24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1403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AAB4" w14:textId="77777777" w:rsidR="00B520ED" w:rsidRPr="00B520ED" w:rsidRDefault="00B520ED" w:rsidP="00B520E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B520ED">
              <w:rPr>
                <w:rFonts w:ascii="Cambria" w:hAnsi="Cambria" w:cs="Calibri"/>
                <w:color w:val="000000"/>
                <w:sz w:val="20"/>
              </w:rPr>
              <w:t>FIO DE SEDA Nº4-0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9FB8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B520ED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3800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54,15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2FE5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2.707,50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21A24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1A886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2.707,50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0788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A0A2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13.537,50 </w:t>
            </w:r>
          </w:p>
        </w:tc>
      </w:tr>
      <w:tr w:rsidR="00B520ED" w:rsidRPr="00B520ED" w14:paraId="1980E237" w14:textId="77777777" w:rsidTr="00B520ED">
        <w:trPr>
          <w:trHeight w:val="24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1239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0D0A" w14:textId="77777777" w:rsidR="00B520ED" w:rsidRPr="00B520ED" w:rsidRDefault="00B520ED" w:rsidP="00B520E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B520ED">
              <w:rPr>
                <w:rFonts w:ascii="Cambria" w:hAnsi="Cambria" w:cs="Calibri"/>
                <w:color w:val="000000"/>
                <w:sz w:val="20"/>
              </w:rPr>
              <w:t>FIO DE SEDA Nº5-0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2DE6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B520ED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8E5F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55,10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A6BC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2.755,00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3411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4BBC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2.755,00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6A26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2192" w14:textId="77777777" w:rsidR="00B520ED" w:rsidRPr="00B520ED" w:rsidRDefault="00B520ED" w:rsidP="00B520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520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13.775,00 </w:t>
            </w:r>
          </w:p>
        </w:tc>
      </w:tr>
    </w:tbl>
    <w:p w14:paraId="46DB3202" w14:textId="77777777" w:rsidR="00961925" w:rsidRPr="0073039C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p w14:paraId="46DB3225" w14:textId="77777777" w:rsidR="00961925" w:rsidRPr="0073039C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01 </w:t>
      </w:r>
      <w:r w:rsidRPr="0073039C">
        <w:rPr>
          <w:rFonts w:ascii="Cambria" w:hAnsi="Cambria"/>
          <w:b/>
          <w:szCs w:val="24"/>
        </w:rPr>
        <w:noBreakHyphen/>
        <w:t xml:space="preserve"> DO OBJETO:</w:t>
      </w:r>
    </w:p>
    <w:p w14:paraId="46DB322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28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039C">
        <w:rPr>
          <w:rFonts w:ascii="Cambria" w:hAnsi="Cambria"/>
        </w:rPr>
        <w:lastRenderedPageBreak/>
        <w:t xml:space="preserve">I </w:t>
      </w:r>
      <w:proofErr w:type="gramStart"/>
      <w:r w:rsidRPr="0073039C">
        <w:rPr>
          <w:rFonts w:ascii="Cambria" w:hAnsi="Cambria"/>
        </w:rPr>
        <w:noBreakHyphen/>
        <w:t xml:space="preserve"> Os</w:t>
      </w:r>
      <w:proofErr w:type="gramEnd"/>
      <w:r w:rsidRPr="0073039C">
        <w:rPr>
          <w:rFonts w:ascii="Cambria" w:hAnsi="Cambria"/>
        </w:rPr>
        <w:t xml:space="preserve"> objetos do fornecimento são os produtos constantes </w:t>
      </w:r>
      <w:r w:rsidR="00357D85" w:rsidRPr="0073039C">
        <w:rPr>
          <w:rFonts w:ascii="Cambria" w:hAnsi="Cambria"/>
        </w:rPr>
        <w:t>do quadro acima</w:t>
      </w:r>
      <w:r w:rsidRPr="0073039C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73039C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02 </w:t>
      </w:r>
      <w:r w:rsidRPr="0073039C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B" w14:textId="77777777" w:rsidR="00961925" w:rsidRPr="0073039C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2C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Nos</w:t>
      </w:r>
      <w:proofErr w:type="gramEnd"/>
      <w:r w:rsidRPr="0073039C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III </w:t>
      </w:r>
      <w:proofErr w:type="gramStart"/>
      <w:r w:rsidRPr="0073039C">
        <w:rPr>
          <w:rFonts w:ascii="Cambria" w:hAnsi="Cambria"/>
          <w:szCs w:val="24"/>
        </w:rPr>
        <w:noBreakHyphen/>
        <w:t xml:space="preserve"> Ocorrendo</w:t>
      </w:r>
      <w:proofErr w:type="gramEnd"/>
      <w:r w:rsidRPr="0073039C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73039C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03 </w:t>
      </w:r>
      <w:r w:rsidRPr="0073039C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3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34" w14:textId="185E033E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73039C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04 </w:t>
      </w:r>
      <w:r w:rsidRPr="0073039C">
        <w:rPr>
          <w:rFonts w:ascii="Cambria" w:hAnsi="Cambria"/>
          <w:b/>
          <w:szCs w:val="24"/>
        </w:rPr>
        <w:noBreakHyphen/>
        <w:t xml:space="preserve"> DO PREÇO</w:t>
      </w:r>
    </w:p>
    <w:p w14:paraId="46DB323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8" w14:textId="0F1E4E71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Os</w:t>
      </w:r>
      <w:proofErr w:type="gramEnd"/>
      <w:r w:rsidRPr="0073039C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.</w:t>
      </w:r>
    </w:p>
    <w:p w14:paraId="46DB3239" w14:textId="77777777" w:rsidR="00961925" w:rsidRPr="0073039C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4C381A5E" w:rsidR="00961925" w:rsidRPr="0073039C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73039C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1EF89E76" w:rsidR="00961925" w:rsidRPr="0073039C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73039C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73039C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05 </w:t>
      </w:r>
      <w:r w:rsidRPr="0073039C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3F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40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r w:rsidRPr="0073039C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73039C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06 </w:t>
      </w:r>
      <w:r w:rsidRPr="0073039C">
        <w:rPr>
          <w:rFonts w:ascii="Cambria" w:hAnsi="Cambria"/>
          <w:b/>
          <w:szCs w:val="24"/>
        </w:rPr>
        <w:noBreakHyphen/>
        <w:t xml:space="preserve"> DO PAGAMENTO</w:t>
      </w:r>
    </w:p>
    <w:p w14:paraId="46DB3246" w14:textId="77777777" w:rsidR="00094E69" w:rsidRPr="0073039C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73039C" w:rsidRDefault="00094E69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73039C">
        <w:rPr>
          <w:rFonts w:ascii="Cambria" w:hAnsi="Cambria"/>
          <w:bCs/>
          <w:szCs w:val="24"/>
        </w:rPr>
        <w:t xml:space="preserve">em até 30 (trinta) dias após recebimento </w:t>
      </w:r>
      <w:r w:rsidRPr="0073039C">
        <w:rPr>
          <w:rFonts w:ascii="Cambria" w:hAnsi="Cambria"/>
          <w:szCs w:val="24"/>
        </w:rPr>
        <w:t>definitivo pela unidade requisitante</w:t>
      </w:r>
      <w:r w:rsidRPr="0073039C">
        <w:rPr>
          <w:rFonts w:ascii="Cambria" w:hAnsi="Cambria"/>
          <w:bCs/>
          <w:szCs w:val="24"/>
        </w:rPr>
        <w:t xml:space="preserve"> do objeto, </w:t>
      </w:r>
      <w:r w:rsidRPr="0073039C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73039C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039C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proofErr w:type="gramStart"/>
      <w:r w:rsidRPr="0073039C">
        <w:rPr>
          <w:rFonts w:ascii="Cambria" w:hAnsi="Cambria" w:cs="Arial"/>
          <w:b/>
          <w:bCs/>
        </w:rPr>
        <w:t>onde</w:t>
      </w:r>
      <w:proofErr w:type="gramEnd"/>
      <w:r w:rsidRPr="0073039C">
        <w:rPr>
          <w:rFonts w:ascii="Cambria" w:hAnsi="Cambria" w:cs="Arial"/>
          <w:b/>
          <w:bCs/>
        </w:rPr>
        <w:t>:</w:t>
      </w:r>
    </w:p>
    <w:p w14:paraId="46DB324C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EM =</w:t>
      </w:r>
      <w:r w:rsidRPr="0073039C">
        <w:rPr>
          <w:rFonts w:ascii="Cambria" w:hAnsi="Cambria" w:cs="Arial"/>
        </w:rPr>
        <w:t xml:space="preserve"> Encargos moratórios;</w:t>
      </w:r>
    </w:p>
    <w:p w14:paraId="46DB324D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VP =</w:t>
      </w:r>
      <w:r w:rsidRPr="0073039C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N =</w:t>
      </w:r>
      <w:r w:rsidRPr="0073039C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I =</w:t>
      </w:r>
      <w:r w:rsidRPr="0073039C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73039C" w:rsidRDefault="00094E69" w:rsidP="00094E69">
      <w:pPr>
        <w:pStyle w:val="Standard"/>
        <w:jc w:val="center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I = (</w:t>
      </w:r>
      <w:r w:rsidRPr="0073039C">
        <w:rPr>
          <w:rFonts w:ascii="Cambria" w:hAnsi="Cambria" w:cs="Arial"/>
          <w:b/>
          <w:bCs/>
          <w:u w:val="single"/>
        </w:rPr>
        <w:t>TX / 100</w:t>
      </w:r>
      <w:r w:rsidRPr="0073039C">
        <w:rPr>
          <w:rFonts w:ascii="Cambria" w:hAnsi="Cambria" w:cs="Arial"/>
          <w:b/>
          <w:bCs/>
        </w:rPr>
        <w:t>)</w:t>
      </w:r>
    </w:p>
    <w:p w14:paraId="46DB3252" w14:textId="77777777" w:rsidR="00094E69" w:rsidRPr="0073039C" w:rsidRDefault="00094E69" w:rsidP="00094E69">
      <w:pPr>
        <w:pStyle w:val="Standard"/>
        <w:jc w:val="center"/>
        <w:rPr>
          <w:rFonts w:ascii="Cambria" w:hAnsi="Cambria"/>
        </w:rPr>
      </w:pPr>
      <w:r w:rsidRPr="0073039C">
        <w:rPr>
          <w:rFonts w:ascii="Cambria" w:eastAsia="Arial" w:hAnsi="Cambria" w:cs="Arial"/>
          <w:b/>
          <w:bCs/>
        </w:rPr>
        <w:t xml:space="preserve">    </w:t>
      </w:r>
      <w:r w:rsidRPr="0073039C">
        <w:rPr>
          <w:rFonts w:ascii="Cambria" w:hAnsi="Cambria" w:cs="Arial"/>
          <w:b/>
          <w:bCs/>
        </w:rPr>
        <w:t>30</w:t>
      </w:r>
    </w:p>
    <w:p w14:paraId="46DB3253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  <w:b/>
          <w:bCs/>
        </w:rPr>
        <w:t xml:space="preserve">TX = </w:t>
      </w:r>
      <w:r w:rsidRPr="0073039C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73039C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73039C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07 </w:t>
      </w:r>
      <w:r w:rsidRPr="0073039C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7" w14:textId="77777777" w:rsidR="00961925" w:rsidRPr="0073039C" w:rsidRDefault="00961925" w:rsidP="00094E69">
      <w:pPr>
        <w:tabs>
          <w:tab w:val="right" w:pos="6375"/>
        </w:tabs>
        <w:jc w:val="both"/>
        <w:rPr>
          <w:rFonts w:ascii="Cambria" w:hAnsi="Cambria"/>
          <w:szCs w:val="24"/>
        </w:rPr>
      </w:pPr>
    </w:p>
    <w:p w14:paraId="46DB3258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As</w:t>
      </w:r>
      <w:proofErr w:type="gramEnd"/>
      <w:r w:rsidRPr="0073039C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Se</w:t>
      </w:r>
      <w:proofErr w:type="gramEnd"/>
      <w:r w:rsidRPr="0073039C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III </w:t>
      </w:r>
      <w:proofErr w:type="gramStart"/>
      <w:r w:rsidRPr="0073039C">
        <w:rPr>
          <w:rFonts w:ascii="Cambria" w:hAnsi="Cambria"/>
          <w:szCs w:val="24"/>
        </w:rPr>
        <w:noBreakHyphen/>
        <w:t xml:space="preserve"> Cada</w:t>
      </w:r>
      <w:proofErr w:type="gramEnd"/>
      <w:r w:rsidRPr="0073039C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IV </w:t>
      </w:r>
      <w:proofErr w:type="gramStart"/>
      <w:r w:rsidRPr="0073039C">
        <w:rPr>
          <w:rFonts w:ascii="Cambria" w:hAnsi="Cambria"/>
          <w:szCs w:val="24"/>
        </w:rPr>
        <w:noBreakHyphen/>
        <w:t xml:space="preserve"> Os</w:t>
      </w:r>
      <w:proofErr w:type="gramEnd"/>
      <w:r w:rsidRPr="0073039C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lastRenderedPageBreak/>
        <w:t xml:space="preserve">V </w:t>
      </w:r>
      <w:r w:rsidRPr="0073039C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VI </w:t>
      </w:r>
      <w:r w:rsidRPr="0073039C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VII </w:t>
      </w:r>
      <w:proofErr w:type="gramStart"/>
      <w:r w:rsidRPr="0073039C">
        <w:rPr>
          <w:rFonts w:ascii="Cambria" w:hAnsi="Cambria"/>
          <w:szCs w:val="24"/>
        </w:rPr>
        <w:noBreakHyphen/>
        <w:t xml:space="preserve"> As</w:t>
      </w:r>
      <w:proofErr w:type="gramEnd"/>
      <w:r w:rsidRPr="0073039C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73039C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08 </w:t>
      </w:r>
      <w:r w:rsidRPr="0073039C">
        <w:rPr>
          <w:rFonts w:ascii="Cambria" w:hAnsi="Cambria"/>
          <w:b/>
          <w:szCs w:val="24"/>
        </w:rPr>
        <w:noBreakHyphen/>
        <w:t xml:space="preserve"> DAS PENALIDADES</w:t>
      </w:r>
    </w:p>
    <w:p w14:paraId="46DB3269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A" w14:textId="77777777" w:rsidR="00961925" w:rsidRPr="0073039C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3039C">
        <w:rPr>
          <w:rFonts w:ascii="Cambria" w:hAnsi="Cambria"/>
          <w:szCs w:val="24"/>
        </w:rPr>
        <w:t>á</w:t>
      </w:r>
      <w:proofErr w:type="spellEnd"/>
      <w:r w:rsidRPr="0073039C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73039C" w:rsidRDefault="00961925" w:rsidP="00961925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A) Advertência;</w:t>
      </w:r>
    </w:p>
    <w:p w14:paraId="46DB326F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039C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73039C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73039C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039C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d) descumprimento de cláusula contratual.</w:t>
      </w:r>
    </w:p>
    <w:p w14:paraId="46DB327D" w14:textId="77777777" w:rsidR="00961925" w:rsidRPr="0073039C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73039C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73039C">
        <w:rPr>
          <w:rFonts w:ascii="Cambria" w:hAnsi="Cambria"/>
          <w:szCs w:val="24"/>
        </w:rPr>
        <w:t xml:space="preserve">III - </w:t>
      </w:r>
      <w:r w:rsidRPr="0073039C">
        <w:rPr>
          <w:rFonts w:ascii="Cambria" w:hAnsi="Cambria"/>
          <w:bCs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73039C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73039C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09 </w:t>
      </w:r>
      <w:r w:rsidRPr="0073039C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6" w14:textId="39331680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Considerado</w:t>
      </w:r>
      <w:proofErr w:type="gramEnd"/>
      <w:r w:rsidRPr="0073039C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Fica</w:t>
      </w:r>
      <w:proofErr w:type="gramEnd"/>
      <w:r w:rsidRPr="0073039C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10 </w:t>
      </w:r>
      <w:r w:rsidRPr="0073039C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C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46DB328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r w:rsidRPr="0073039C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73039C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73039C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11 </w:t>
      </w:r>
      <w:r w:rsidRPr="0073039C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1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92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73039C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73039C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A </w:t>
      </w:r>
      <w:r w:rsidRPr="0073039C">
        <w:rPr>
          <w:rFonts w:ascii="Cambria" w:hAnsi="Cambria"/>
          <w:szCs w:val="24"/>
        </w:rPr>
        <w:noBreakHyphen/>
        <w:t xml:space="preserve"> </w:t>
      </w:r>
      <w:proofErr w:type="spellStart"/>
      <w:r w:rsidRPr="0073039C">
        <w:rPr>
          <w:rFonts w:ascii="Cambria" w:hAnsi="Cambria"/>
          <w:szCs w:val="24"/>
        </w:rPr>
        <w:t>a</w:t>
      </w:r>
      <w:proofErr w:type="spellEnd"/>
      <w:r w:rsidRPr="0073039C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B </w:t>
      </w:r>
      <w:r w:rsidRPr="0073039C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C </w:t>
      </w:r>
      <w:r w:rsidRPr="0073039C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D </w:t>
      </w:r>
      <w:r w:rsidRPr="0073039C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73039C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73039C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E </w:t>
      </w:r>
      <w:r w:rsidRPr="0073039C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F </w:t>
      </w:r>
      <w:r w:rsidRPr="0073039C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039C">
        <w:rPr>
          <w:rFonts w:ascii="Cambria" w:hAnsi="Cambria"/>
        </w:rPr>
        <w:t xml:space="preserve">G </w:t>
      </w:r>
      <w:r w:rsidRPr="0073039C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73039C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73039C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  <w:b/>
        </w:rPr>
        <w:t>Pelas detentoras, quando</w:t>
      </w:r>
      <w:r w:rsidRPr="0073039C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73039C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73039C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A </w:t>
      </w:r>
      <w:r w:rsidRPr="0073039C">
        <w:rPr>
          <w:rFonts w:ascii="Cambria" w:hAnsi="Cambria"/>
          <w:szCs w:val="24"/>
        </w:rPr>
        <w:noBreakHyphen/>
        <w:t xml:space="preserve"> </w:t>
      </w:r>
      <w:proofErr w:type="spellStart"/>
      <w:r w:rsidRPr="0073039C">
        <w:rPr>
          <w:rFonts w:ascii="Cambria" w:hAnsi="Cambria"/>
          <w:szCs w:val="24"/>
        </w:rPr>
        <w:t>a</w:t>
      </w:r>
      <w:proofErr w:type="spellEnd"/>
      <w:r w:rsidRPr="0073039C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73039C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73039C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12 </w:t>
      </w:r>
      <w:r w:rsidRPr="0073039C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A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B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</w:t>
      </w:r>
      <w:r w:rsidRPr="0073039C">
        <w:rPr>
          <w:rFonts w:ascii="Cambria" w:hAnsi="Cambria"/>
          <w:b/>
          <w:szCs w:val="24"/>
        </w:rPr>
        <w:t xml:space="preserve"> </w:t>
      </w:r>
      <w:proofErr w:type="gramStart"/>
      <w:r w:rsidRPr="0073039C">
        <w:rPr>
          <w:rFonts w:ascii="Cambria" w:hAnsi="Cambria"/>
          <w:b/>
          <w:szCs w:val="24"/>
        </w:rPr>
        <w:noBreakHyphen/>
      </w:r>
      <w:r w:rsidRPr="0073039C">
        <w:rPr>
          <w:rFonts w:ascii="Cambria" w:hAnsi="Cambria"/>
          <w:szCs w:val="24"/>
        </w:rPr>
        <w:t xml:space="preserve"> As</w:t>
      </w:r>
      <w:proofErr w:type="gramEnd"/>
      <w:r w:rsidRPr="0073039C">
        <w:rPr>
          <w:rFonts w:ascii="Cambria" w:hAnsi="Cambria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lastRenderedPageBreak/>
        <w:t>13- DAS DISPOSIÇÕES FINAIS</w:t>
      </w:r>
    </w:p>
    <w:p w14:paraId="46DB32AE" w14:textId="77777777" w:rsidR="00961925" w:rsidRPr="0073039C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46DB32AF" w14:textId="41CB4354" w:rsidR="00961925" w:rsidRPr="0073039C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 xml:space="preserve">I – </w:t>
      </w:r>
      <w:r w:rsidR="00961925" w:rsidRPr="0073039C">
        <w:rPr>
          <w:rFonts w:ascii="Cambria" w:hAnsi="Cambria" w:cs="Arial"/>
        </w:rPr>
        <w:t xml:space="preserve">Integram esta Ata, o edital do Pregão nº </w:t>
      </w:r>
      <w:r w:rsidR="00A961CA" w:rsidRPr="0073039C">
        <w:rPr>
          <w:rFonts w:ascii="Cambria" w:hAnsi="Cambria" w:cs="Arial"/>
        </w:rPr>
        <w:t>024/2022</w:t>
      </w:r>
      <w:r w:rsidR="00961925" w:rsidRPr="0073039C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73039C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73039C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II –</w:t>
      </w:r>
      <w:r w:rsidR="00961925" w:rsidRPr="0073039C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73039C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73039C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III – </w:t>
      </w:r>
      <w:r w:rsidR="00961925" w:rsidRPr="0073039C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7" w14:textId="797DF6D6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Papagaios, </w:t>
      </w:r>
      <w:r w:rsidR="00C200DE" w:rsidRPr="0073039C">
        <w:rPr>
          <w:rFonts w:ascii="Cambria" w:hAnsi="Cambria"/>
          <w:szCs w:val="24"/>
        </w:rPr>
        <w:t>11 de maio de 2022</w:t>
      </w:r>
      <w:r w:rsidR="001F2F80" w:rsidRPr="0073039C">
        <w:rPr>
          <w:rFonts w:ascii="Cambria" w:hAnsi="Cambria"/>
          <w:szCs w:val="24"/>
        </w:rPr>
        <w:t>.</w:t>
      </w:r>
    </w:p>
    <w:p w14:paraId="46DB32B8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9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1957B974" w14:textId="77777777" w:rsidR="00052313" w:rsidRPr="0073039C" w:rsidRDefault="00052313" w:rsidP="00052313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73039C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73039C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DB32BC" w14:textId="77777777" w:rsidR="00961925" w:rsidRPr="0073039C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73039C">
        <w:rPr>
          <w:rFonts w:ascii="Cambria" w:hAnsi="Cambria" w:cs="Arial"/>
        </w:rPr>
        <w:t xml:space="preserve">Município de Papagaios/MG  </w:t>
      </w:r>
    </w:p>
    <w:p w14:paraId="46DB32BE" w14:textId="77777777" w:rsidR="00961925" w:rsidRPr="0073039C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BF" w14:textId="77777777" w:rsidR="0096192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7E5B617D" w14:textId="188CE66F" w:rsidR="0073039C" w:rsidRPr="004D3057" w:rsidRDefault="00394424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proofErr w:type="spellStart"/>
      <w:r>
        <w:rPr>
          <w:rFonts w:ascii="Cambria" w:hAnsi="Cambria" w:cs="Arial"/>
          <w:b/>
          <w:bCs/>
          <w:i/>
          <w:iCs/>
        </w:rPr>
        <w:t>Emena</w:t>
      </w:r>
      <w:r w:rsidR="00844ED6">
        <w:rPr>
          <w:rFonts w:ascii="Cambria" w:hAnsi="Cambria" w:cs="Arial"/>
          <w:b/>
          <w:bCs/>
          <w:i/>
          <w:iCs/>
        </w:rPr>
        <w:t>l</w:t>
      </w:r>
      <w:r w:rsidR="00B520ED">
        <w:rPr>
          <w:rFonts w:ascii="Cambria" w:hAnsi="Cambria" w:cs="Arial"/>
          <w:b/>
          <w:bCs/>
          <w:i/>
          <w:iCs/>
        </w:rPr>
        <w:t>i</w:t>
      </w:r>
      <w:proofErr w:type="spellEnd"/>
      <w:r w:rsidR="00B520ED">
        <w:rPr>
          <w:rFonts w:ascii="Cambria" w:hAnsi="Cambria" w:cs="Arial"/>
          <w:b/>
          <w:bCs/>
          <w:i/>
          <w:iCs/>
        </w:rPr>
        <w:t xml:space="preserve"> Medical </w:t>
      </w:r>
      <w:proofErr w:type="spellStart"/>
      <w:r w:rsidR="00B520ED">
        <w:rPr>
          <w:rFonts w:ascii="Cambria" w:hAnsi="Cambria" w:cs="Arial"/>
          <w:b/>
          <w:bCs/>
          <w:i/>
          <w:iCs/>
        </w:rPr>
        <w:t>Ltda</w:t>
      </w:r>
      <w:proofErr w:type="spellEnd"/>
      <w:r w:rsidR="00D20A11">
        <w:rPr>
          <w:rFonts w:ascii="Cambria" w:hAnsi="Cambria" w:cs="Arial"/>
          <w:b/>
          <w:bCs/>
          <w:i/>
          <w:iCs/>
        </w:rPr>
        <w:t>-EPP</w:t>
      </w:r>
      <w:bookmarkStart w:id="0" w:name="_GoBack"/>
      <w:bookmarkEnd w:id="0"/>
    </w:p>
    <w:p w14:paraId="7AC83210" w14:textId="357740B6" w:rsidR="004D3057" w:rsidRPr="0073039C" w:rsidRDefault="004D3057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CNPJ/MF </w:t>
      </w:r>
      <w:r w:rsidR="00B520ED">
        <w:rPr>
          <w:rFonts w:ascii="Cambria" w:hAnsi="Cambria" w:cs="Arial"/>
        </w:rPr>
        <w:t>13.694.036/0001-64</w:t>
      </w:r>
    </w:p>
    <w:sectPr w:rsidR="004D3057" w:rsidRPr="0073039C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F0DB7" w14:textId="77777777" w:rsidR="00D06D9C" w:rsidRDefault="00D06D9C">
      <w:r>
        <w:separator/>
      </w:r>
    </w:p>
  </w:endnote>
  <w:endnote w:type="continuationSeparator" w:id="0">
    <w:p w14:paraId="05D5A29B" w14:textId="77777777" w:rsidR="00D06D9C" w:rsidRDefault="00D0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4E98A" w14:textId="77777777" w:rsidR="00D06D9C" w:rsidRDefault="00D06D9C">
      <w:r>
        <w:separator/>
      </w:r>
    </w:p>
  </w:footnote>
  <w:footnote w:type="continuationSeparator" w:id="0">
    <w:p w14:paraId="41A2010C" w14:textId="77777777" w:rsidR="00D06D9C" w:rsidRDefault="00D0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2313"/>
    <w:rsid w:val="0005239B"/>
    <w:rsid w:val="00054443"/>
    <w:rsid w:val="0005728F"/>
    <w:rsid w:val="0006281E"/>
    <w:rsid w:val="00062DD3"/>
    <w:rsid w:val="00071E54"/>
    <w:rsid w:val="000770C1"/>
    <w:rsid w:val="00083DD1"/>
    <w:rsid w:val="0008701C"/>
    <w:rsid w:val="00094E69"/>
    <w:rsid w:val="00095633"/>
    <w:rsid w:val="000D2FA6"/>
    <w:rsid w:val="000E3631"/>
    <w:rsid w:val="000E427B"/>
    <w:rsid w:val="000E479B"/>
    <w:rsid w:val="000E7432"/>
    <w:rsid w:val="0010144B"/>
    <w:rsid w:val="00173E14"/>
    <w:rsid w:val="00174E35"/>
    <w:rsid w:val="00177C07"/>
    <w:rsid w:val="00181C40"/>
    <w:rsid w:val="001A15A9"/>
    <w:rsid w:val="001A5F93"/>
    <w:rsid w:val="001A76CD"/>
    <w:rsid w:val="001B2E39"/>
    <w:rsid w:val="001B5D1E"/>
    <w:rsid w:val="001D2E13"/>
    <w:rsid w:val="001D46C5"/>
    <w:rsid w:val="001E1C31"/>
    <w:rsid w:val="001E7926"/>
    <w:rsid w:val="001F2F80"/>
    <w:rsid w:val="00200713"/>
    <w:rsid w:val="002075FE"/>
    <w:rsid w:val="00210FD8"/>
    <w:rsid w:val="00237EAA"/>
    <w:rsid w:val="002476CF"/>
    <w:rsid w:val="00247BEF"/>
    <w:rsid w:val="00251C98"/>
    <w:rsid w:val="0027092D"/>
    <w:rsid w:val="00273022"/>
    <w:rsid w:val="00276A1E"/>
    <w:rsid w:val="002770C2"/>
    <w:rsid w:val="002A01B8"/>
    <w:rsid w:val="002B522C"/>
    <w:rsid w:val="002B7728"/>
    <w:rsid w:val="002C36F6"/>
    <w:rsid w:val="002C5D24"/>
    <w:rsid w:val="002D3DAC"/>
    <w:rsid w:val="002E4F4B"/>
    <w:rsid w:val="002F023C"/>
    <w:rsid w:val="00301908"/>
    <w:rsid w:val="00305E4E"/>
    <w:rsid w:val="00306696"/>
    <w:rsid w:val="003102B1"/>
    <w:rsid w:val="003103EC"/>
    <w:rsid w:val="003209D5"/>
    <w:rsid w:val="003243CA"/>
    <w:rsid w:val="00345654"/>
    <w:rsid w:val="003457EA"/>
    <w:rsid w:val="00346EE3"/>
    <w:rsid w:val="00357D85"/>
    <w:rsid w:val="00375659"/>
    <w:rsid w:val="00394424"/>
    <w:rsid w:val="0039711B"/>
    <w:rsid w:val="003B0F42"/>
    <w:rsid w:val="003B750B"/>
    <w:rsid w:val="003C5BCC"/>
    <w:rsid w:val="003C6857"/>
    <w:rsid w:val="003C72FB"/>
    <w:rsid w:val="003D0B63"/>
    <w:rsid w:val="003D1005"/>
    <w:rsid w:val="003E3FEC"/>
    <w:rsid w:val="003F46E8"/>
    <w:rsid w:val="003F55D1"/>
    <w:rsid w:val="004114C2"/>
    <w:rsid w:val="004236FC"/>
    <w:rsid w:val="00444991"/>
    <w:rsid w:val="00447CF8"/>
    <w:rsid w:val="004526D9"/>
    <w:rsid w:val="00453819"/>
    <w:rsid w:val="004539B5"/>
    <w:rsid w:val="0046055F"/>
    <w:rsid w:val="00460ED7"/>
    <w:rsid w:val="00480721"/>
    <w:rsid w:val="004868C0"/>
    <w:rsid w:val="004A0C06"/>
    <w:rsid w:val="004B377B"/>
    <w:rsid w:val="004B39EA"/>
    <w:rsid w:val="004C3FB8"/>
    <w:rsid w:val="004D3057"/>
    <w:rsid w:val="004D5CDA"/>
    <w:rsid w:val="004E220D"/>
    <w:rsid w:val="004E6A8A"/>
    <w:rsid w:val="004E7816"/>
    <w:rsid w:val="004F10A0"/>
    <w:rsid w:val="004F29E5"/>
    <w:rsid w:val="004F42C4"/>
    <w:rsid w:val="004F7F5C"/>
    <w:rsid w:val="005012C1"/>
    <w:rsid w:val="005101A8"/>
    <w:rsid w:val="005331AD"/>
    <w:rsid w:val="00542B7A"/>
    <w:rsid w:val="00573148"/>
    <w:rsid w:val="005937A6"/>
    <w:rsid w:val="005A0CC7"/>
    <w:rsid w:val="005A3440"/>
    <w:rsid w:val="005B387A"/>
    <w:rsid w:val="005C2565"/>
    <w:rsid w:val="005D40BD"/>
    <w:rsid w:val="005D7B98"/>
    <w:rsid w:val="005E4232"/>
    <w:rsid w:val="005F1399"/>
    <w:rsid w:val="005F7E83"/>
    <w:rsid w:val="00607FBC"/>
    <w:rsid w:val="00614622"/>
    <w:rsid w:val="00640C1B"/>
    <w:rsid w:val="00647358"/>
    <w:rsid w:val="006520E6"/>
    <w:rsid w:val="00656F20"/>
    <w:rsid w:val="0066409A"/>
    <w:rsid w:val="006709C5"/>
    <w:rsid w:val="00673A91"/>
    <w:rsid w:val="00676EF3"/>
    <w:rsid w:val="00694DC5"/>
    <w:rsid w:val="0069670A"/>
    <w:rsid w:val="006A06B2"/>
    <w:rsid w:val="006C3979"/>
    <w:rsid w:val="006D7103"/>
    <w:rsid w:val="006D74E5"/>
    <w:rsid w:val="006E6F38"/>
    <w:rsid w:val="006E7153"/>
    <w:rsid w:val="006F2F8D"/>
    <w:rsid w:val="006F31A3"/>
    <w:rsid w:val="006F7B8E"/>
    <w:rsid w:val="006F7D62"/>
    <w:rsid w:val="007113D4"/>
    <w:rsid w:val="007301AD"/>
    <w:rsid w:val="0073039C"/>
    <w:rsid w:val="0075147A"/>
    <w:rsid w:val="00752E08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B5DF6"/>
    <w:rsid w:val="007C2B14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ED6"/>
    <w:rsid w:val="00844F2C"/>
    <w:rsid w:val="00853118"/>
    <w:rsid w:val="008537C3"/>
    <w:rsid w:val="00865AE6"/>
    <w:rsid w:val="008763DC"/>
    <w:rsid w:val="00891BB4"/>
    <w:rsid w:val="008A1784"/>
    <w:rsid w:val="008A338A"/>
    <w:rsid w:val="008A4BCA"/>
    <w:rsid w:val="008D2BF6"/>
    <w:rsid w:val="008D2D20"/>
    <w:rsid w:val="008D6E6C"/>
    <w:rsid w:val="008E1FF8"/>
    <w:rsid w:val="008E594C"/>
    <w:rsid w:val="009345DA"/>
    <w:rsid w:val="00934867"/>
    <w:rsid w:val="00934E1A"/>
    <w:rsid w:val="00940302"/>
    <w:rsid w:val="009417BE"/>
    <w:rsid w:val="009615FB"/>
    <w:rsid w:val="00961925"/>
    <w:rsid w:val="00980456"/>
    <w:rsid w:val="009A6E56"/>
    <w:rsid w:val="009B1C3D"/>
    <w:rsid w:val="009C09EF"/>
    <w:rsid w:val="009C5341"/>
    <w:rsid w:val="009C54B9"/>
    <w:rsid w:val="009D0A08"/>
    <w:rsid w:val="009D484C"/>
    <w:rsid w:val="00A068CE"/>
    <w:rsid w:val="00A06D64"/>
    <w:rsid w:val="00A15133"/>
    <w:rsid w:val="00A23322"/>
    <w:rsid w:val="00A26A5D"/>
    <w:rsid w:val="00A305BC"/>
    <w:rsid w:val="00A309C3"/>
    <w:rsid w:val="00A31AC8"/>
    <w:rsid w:val="00A33EC6"/>
    <w:rsid w:val="00A554F4"/>
    <w:rsid w:val="00A61E0C"/>
    <w:rsid w:val="00A644AA"/>
    <w:rsid w:val="00A64F5E"/>
    <w:rsid w:val="00A71E72"/>
    <w:rsid w:val="00A82C66"/>
    <w:rsid w:val="00A95F33"/>
    <w:rsid w:val="00A961CA"/>
    <w:rsid w:val="00AA16E7"/>
    <w:rsid w:val="00AC0E53"/>
    <w:rsid w:val="00AC65DE"/>
    <w:rsid w:val="00AC7096"/>
    <w:rsid w:val="00AD0F4F"/>
    <w:rsid w:val="00AD2662"/>
    <w:rsid w:val="00B00BE4"/>
    <w:rsid w:val="00B22ED5"/>
    <w:rsid w:val="00B27EB9"/>
    <w:rsid w:val="00B328B9"/>
    <w:rsid w:val="00B32E89"/>
    <w:rsid w:val="00B520ED"/>
    <w:rsid w:val="00B67746"/>
    <w:rsid w:val="00B92C88"/>
    <w:rsid w:val="00B940AC"/>
    <w:rsid w:val="00BA129C"/>
    <w:rsid w:val="00BA3FC8"/>
    <w:rsid w:val="00BA623F"/>
    <w:rsid w:val="00BC00AD"/>
    <w:rsid w:val="00BD06EE"/>
    <w:rsid w:val="00C046C5"/>
    <w:rsid w:val="00C10878"/>
    <w:rsid w:val="00C200DE"/>
    <w:rsid w:val="00C275E2"/>
    <w:rsid w:val="00C31066"/>
    <w:rsid w:val="00C37DC7"/>
    <w:rsid w:val="00C513D4"/>
    <w:rsid w:val="00C63014"/>
    <w:rsid w:val="00C7580C"/>
    <w:rsid w:val="00C80443"/>
    <w:rsid w:val="00CD19D5"/>
    <w:rsid w:val="00CE7F25"/>
    <w:rsid w:val="00CF5B1A"/>
    <w:rsid w:val="00D01E09"/>
    <w:rsid w:val="00D06D9C"/>
    <w:rsid w:val="00D17C0D"/>
    <w:rsid w:val="00D20A11"/>
    <w:rsid w:val="00D233F1"/>
    <w:rsid w:val="00D31BF6"/>
    <w:rsid w:val="00D358F0"/>
    <w:rsid w:val="00D5154D"/>
    <w:rsid w:val="00D55E83"/>
    <w:rsid w:val="00D85C00"/>
    <w:rsid w:val="00DA0925"/>
    <w:rsid w:val="00DC18A7"/>
    <w:rsid w:val="00DE2653"/>
    <w:rsid w:val="00DE3EED"/>
    <w:rsid w:val="00DE67DD"/>
    <w:rsid w:val="00DF1244"/>
    <w:rsid w:val="00DF35F7"/>
    <w:rsid w:val="00DF46D5"/>
    <w:rsid w:val="00E14E84"/>
    <w:rsid w:val="00E548A9"/>
    <w:rsid w:val="00E62D52"/>
    <w:rsid w:val="00E7080B"/>
    <w:rsid w:val="00E83D4F"/>
    <w:rsid w:val="00EB2761"/>
    <w:rsid w:val="00EB3B2C"/>
    <w:rsid w:val="00EB78E9"/>
    <w:rsid w:val="00EC4F0A"/>
    <w:rsid w:val="00EE09C2"/>
    <w:rsid w:val="00EE128B"/>
    <w:rsid w:val="00F04523"/>
    <w:rsid w:val="00F07077"/>
    <w:rsid w:val="00F1182B"/>
    <w:rsid w:val="00F156F1"/>
    <w:rsid w:val="00F255A0"/>
    <w:rsid w:val="00F263B2"/>
    <w:rsid w:val="00F30910"/>
    <w:rsid w:val="00F32291"/>
    <w:rsid w:val="00F330D2"/>
    <w:rsid w:val="00F52F4C"/>
    <w:rsid w:val="00F71E73"/>
    <w:rsid w:val="00F83F8D"/>
    <w:rsid w:val="00F858CD"/>
    <w:rsid w:val="00FB3378"/>
    <w:rsid w:val="00FB4EAF"/>
    <w:rsid w:val="00FB7541"/>
    <w:rsid w:val="00FC20C9"/>
    <w:rsid w:val="00FD336F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2165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Prefeitura Municipal</cp:lastModifiedBy>
  <cp:revision>8</cp:revision>
  <cp:lastPrinted>2021-09-29T16:26:00Z</cp:lastPrinted>
  <dcterms:created xsi:type="dcterms:W3CDTF">2022-05-16T14:15:00Z</dcterms:created>
  <dcterms:modified xsi:type="dcterms:W3CDTF">2022-05-17T17:53:00Z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