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46CAEC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73586">
        <w:rPr>
          <w:rFonts w:ascii="Cambria" w:hAnsi="Cambria"/>
          <w:b/>
          <w:color w:val="000000"/>
          <w:szCs w:val="24"/>
        </w:rPr>
        <w:t>147/2021</w:t>
      </w:r>
    </w:p>
    <w:p w14:paraId="26C2C9FC" w14:textId="662D844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E73586">
        <w:rPr>
          <w:rFonts w:ascii="Cambria" w:hAnsi="Cambria"/>
          <w:b/>
          <w:color w:val="000000"/>
          <w:szCs w:val="24"/>
        </w:rPr>
        <w:t>081/2021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79B8971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825950">
        <w:rPr>
          <w:rFonts w:ascii="Cambria" w:hAnsi="Cambria"/>
          <w:color w:val="000000"/>
          <w:szCs w:val="24"/>
        </w:rPr>
        <w:t>064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B640C3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872D5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E73586">
        <w:rPr>
          <w:rFonts w:ascii="Cambria" w:hAnsi="Cambria"/>
          <w:color w:val="000000"/>
          <w:szCs w:val="24"/>
        </w:rPr>
        <w:t>147/2021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0CE95C12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CB29D7">
        <w:rPr>
          <w:rFonts w:ascii="Cambria" w:hAnsi="Cambria" w:cs="Arial"/>
          <w:color w:val="000000"/>
        </w:rPr>
        <w:t xml:space="preserve"> 17 (dezessete) </w:t>
      </w:r>
      <w:r w:rsidRPr="00500FE5">
        <w:rPr>
          <w:rFonts w:ascii="Cambria" w:hAnsi="Cambria" w:cs="Arial"/>
          <w:color w:val="000000"/>
        </w:rPr>
        <w:t>dias do mês de</w:t>
      </w:r>
      <w:r w:rsidR="00CB29D7">
        <w:rPr>
          <w:rFonts w:ascii="Cambria" w:hAnsi="Cambria" w:cs="Arial"/>
          <w:color w:val="000000"/>
        </w:rPr>
        <w:t xml:space="preserve"> outubro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D06EF">
        <w:rPr>
          <w:rFonts w:ascii="Cambria" w:hAnsi="Cambria" w:cs="Arial"/>
          <w:color w:val="000000"/>
        </w:rPr>
        <w:t>Avenida Francisco Valadares da Fonseca, nº. 250, bairro Vasco Lopes</w:t>
      </w:r>
      <w:r w:rsidR="00606D09">
        <w:rPr>
          <w:rFonts w:ascii="Cambria" w:hAnsi="Cambria" w:cs="Arial"/>
          <w:color w:val="000000"/>
        </w:rPr>
        <w:t>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E20BC0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73586">
        <w:rPr>
          <w:rFonts w:ascii="Cambria" w:hAnsi="Cambria" w:cs="Arial"/>
          <w:color w:val="000000"/>
        </w:rPr>
        <w:t>081/2021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73586">
        <w:rPr>
          <w:rFonts w:ascii="Cambria" w:hAnsi="Cambria" w:cs="Arial"/>
          <w:color w:val="000000"/>
        </w:rPr>
        <w:t>147/2021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46E75" w:rsidRPr="00146E75">
        <w:rPr>
          <w:rFonts w:ascii="Cambria" w:hAnsi="Cambria" w:cs="Arial"/>
          <w:b/>
          <w:bCs/>
          <w:color w:val="000000"/>
        </w:rPr>
        <w:t>JURANDY DOS SANTOS ELIAS</w:t>
      </w:r>
      <w:r w:rsidR="00146E75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146E75">
        <w:rPr>
          <w:rFonts w:ascii="Cambria" w:hAnsi="Cambria" w:cs="Arial"/>
          <w:color w:val="000000"/>
        </w:rPr>
        <w:t>Rua Iracema Moreira Marques, nº. 55, bairro SJ do Almeida/Santo Amaro, Jaboticatubas/MG, CEP 35.835-000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8735C9">
        <w:rPr>
          <w:rFonts w:ascii="Cambria" w:hAnsi="Cambria" w:cs="Arial"/>
          <w:color w:val="000000"/>
        </w:rPr>
        <w:t>41.231.972/0001-74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4C2D9B">
        <w:rPr>
          <w:rFonts w:ascii="Cambria" w:hAnsi="Cambria" w:cs="Arial"/>
          <w:color w:val="000000"/>
        </w:rPr>
        <w:t>Jurandy dos Santos Elias, inscrito no CPF/MF sob o nº. 940.731.396-49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829"/>
        <w:gridCol w:w="878"/>
        <w:gridCol w:w="959"/>
        <w:gridCol w:w="998"/>
        <w:gridCol w:w="993"/>
        <w:gridCol w:w="879"/>
        <w:gridCol w:w="993"/>
        <w:gridCol w:w="901"/>
        <w:gridCol w:w="10"/>
      </w:tblGrid>
      <w:tr w:rsidR="000828B2" w:rsidRPr="000828B2" w14:paraId="1801B9A4" w14:textId="77777777" w:rsidTr="000828B2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E3FB055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  <w:hideMark/>
          </w:tcPr>
          <w:p w14:paraId="1C5CAB6F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611" w:type="dxa"/>
            <w:gridSpan w:val="8"/>
            <w:shd w:val="clear" w:color="auto" w:fill="auto"/>
            <w:vAlign w:val="center"/>
            <w:hideMark/>
          </w:tcPr>
          <w:p w14:paraId="2A299339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0828B2" w:rsidRPr="000828B2" w14:paraId="60BE4400" w14:textId="77777777" w:rsidTr="000828B2">
        <w:trPr>
          <w:gridAfter w:val="1"/>
          <w:wAfter w:w="10" w:type="dxa"/>
          <w:trHeight w:val="20"/>
        </w:trPr>
        <w:tc>
          <w:tcPr>
            <w:tcW w:w="576" w:type="dxa"/>
            <w:vMerge/>
            <w:vAlign w:val="center"/>
            <w:hideMark/>
          </w:tcPr>
          <w:p w14:paraId="153B8A71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vMerge/>
            <w:vAlign w:val="center"/>
            <w:hideMark/>
          </w:tcPr>
          <w:p w14:paraId="283ADDEE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000000" w:fill="BFBFBF"/>
            <w:vAlign w:val="center"/>
            <w:hideMark/>
          </w:tcPr>
          <w:p w14:paraId="7560B4DF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72" w:type="dxa"/>
            <w:gridSpan w:val="2"/>
            <w:shd w:val="clear" w:color="000000" w:fill="BFBFBF"/>
            <w:vAlign w:val="center"/>
            <w:hideMark/>
          </w:tcPr>
          <w:p w14:paraId="1A07BECF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4" w:type="dxa"/>
            <w:gridSpan w:val="2"/>
            <w:shd w:val="clear" w:color="000000" w:fill="BFBFBF"/>
            <w:vAlign w:val="center"/>
            <w:hideMark/>
          </w:tcPr>
          <w:p w14:paraId="362FBEFA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828B2" w:rsidRPr="000828B2" w14:paraId="595DAE9F" w14:textId="77777777" w:rsidTr="000828B2">
        <w:trPr>
          <w:gridAfter w:val="1"/>
          <w:wAfter w:w="10" w:type="dxa"/>
          <w:trHeight w:val="276"/>
        </w:trPr>
        <w:tc>
          <w:tcPr>
            <w:tcW w:w="576" w:type="dxa"/>
            <w:vMerge/>
            <w:vAlign w:val="center"/>
            <w:hideMark/>
          </w:tcPr>
          <w:p w14:paraId="7E43A344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vMerge/>
            <w:vAlign w:val="center"/>
            <w:hideMark/>
          </w:tcPr>
          <w:p w14:paraId="03DB5DCB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11A9F26A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3FC592CA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98" w:type="dxa"/>
            <w:vMerge w:val="restart"/>
            <w:shd w:val="clear" w:color="000000" w:fill="D9D9D9"/>
            <w:vAlign w:val="center"/>
            <w:hideMark/>
          </w:tcPr>
          <w:p w14:paraId="199D37C3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93" w:type="dxa"/>
            <w:vMerge w:val="restart"/>
            <w:shd w:val="clear" w:color="000000" w:fill="D9D9D9"/>
            <w:vAlign w:val="center"/>
            <w:hideMark/>
          </w:tcPr>
          <w:p w14:paraId="3F70E84A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14:paraId="698C3E6A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93" w:type="dxa"/>
            <w:vMerge w:val="restart"/>
            <w:shd w:val="clear" w:color="000000" w:fill="D9D9D9"/>
            <w:vAlign w:val="center"/>
            <w:hideMark/>
          </w:tcPr>
          <w:p w14:paraId="4443590D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901" w:type="dxa"/>
            <w:vMerge w:val="restart"/>
            <w:shd w:val="clear" w:color="000000" w:fill="D9D9D9"/>
            <w:vAlign w:val="center"/>
            <w:hideMark/>
          </w:tcPr>
          <w:p w14:paraId="66BC1AD1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828B2" w:rsidRPr="000828B2" w14:paraId="1C9A70AA" w14:textId="77777777" w:rsidTr="000828B2">
        <w:trPr>
          <w:gridAfter w:val="1"/>
          <w:wAfter w:w="10" w:type="dxa"/>
          <w:trHeight w:val="276"/>
        </w:trPr>
        <w:tc>
          <w:tcPr>
            <w:tcW w:w="576" w:type="dxa"/>
            <w:vMerge/>
            <w:vAlign w:val="center"/>
            <w:hideMark/>
          </w:tcPr>
          <w:p w14:paraId="7A00FCC6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vMerge/>
            <w:vAlign w:val="center"/>
            <w:hideMark/>
          </w:tcPr>
          <w:p w14:paraId="12EE312B" w14:textId="77777777" w:rsidR="000828B2" w:rsidRPr="000828B2" w:rsidRDefault="000828B2" w:rsidP="000828B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56E0EE33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0E1F017B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56889530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0D0338B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14:paraId="5E5644EB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E9EDB04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14:paraId="1F44F4A8" w14:textId="77777777" w:rsidR="000828B2" w:rsidRPr="000828B2" w:rsidRDefault="000828B2" w:rsidP="000828B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828B2" w:rsidRPr="000828B2" w14:paraId="08702384" w14:textId="77777777" w:rsidTr="000828B2">
        <w:trPr>
          <w:gridAfter w:val="1"/>
          <w:wAfter w:w="10" w:type="dxa"/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E0DA29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C1E3DC6" w14:textId="77777777" w:rsidR="000828B2" w:rsidRPr="000828B2" w:rsidRDefault="000828B2" w:rsidP="000828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BANHEIRO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QUIMICO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LOCAÇÃO DE BANHEIRO QUIMICO INDIVIDUAL, PORTATEIS, COM MONTAGEM, MANUTENÇÃO DIÁRIA COM CAMINHÃO LIMPA FOSSA E DESMONTAGEM, MATERIAL EM POLIETILENO, COM TETO TRANSLÚCIDO, DOTADO DE ILUMINAÇÃO ARTIFICIAL, DIMENSÕES MÍNIMAS DE 1,10M DE FRENTE X 1,20MDE FUNDO X 2,30 DE ALTURA, COMPOSTO DE CAIXA DE DEJETO COM CAPACIDADE DE 220LITROS, PORTA PAPEL HIGIÊNICO, 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FECHAMENTO AUTOMÁTICO COM IDENTIFICAÇÃO DE OCUPADO, PARA USO DO PUBLICO EM GERAL,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DEVERÁ FICAR A DISPOSIÇÃO POR 1 (UM) DIA.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F34978B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FA67554" w14:textId="2653D135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FEFFC71" w14:textId="6F4C88DB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4B46E97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7903744A" w14:textId="1FA4EA02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4912822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FBD4D89" w14:textId="0E5E5BCC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45.000,00</w:t>
            </w:r>
          </w:p>
        </w:tc>
      </w:tr>
      <w:tr w:rsidR="000828B2" w:rsidRPr="000828B2" w14:paraId="7F2AA82A" w14:textId="77777777" w:rsidTr="000828B2">
        <w:trPr>
          <w:gridAfter w:val="1"/>
          <w:wAfter w:w="10" w:type="dxa"/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0F2DB5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E595FC8" w14:textId="77777777" w:rsidR="000828B2" w:rsidRPr="000828B2" w:rsidRDefault="000828B2" w:rsidP="000828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BANHEIRO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QUIMICO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LOCAÇÃO DE BANHEIRO QUIMICO INDIVIDUAL, PORTATEIS, COM MONTAGEM, MANUTENÇÃO DIÁRIA COM CAMINHÃO LIMPA FOSSA E DESMONTAGEM, MATERIAL EM POLIETILENO, COM TETO TRANSLÚCIDO, DOTADO DE ILUMINAÇÃO ARTIFICIAL, DIMENSÕES MÍNIMAS DE 1,10M DE FRENTE X 1,20MDE FUNDO X 2,30 DE ALTURA, COMPOSTO DE CAIXA DE DEJETO COM CAPACIDADE DE 220LITROS, PORTA PAPEL HIGIÊNICO, FECHAMENTO AUTOMÁTICO COM IDENTIFICAÇÃO DE OCUPADO, PARA USO DO PUBLICO EM GERAL,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DEVERÁ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lastRenderedPageBreak/>
              <w:t>FICAR A DISPOSIÇÃO POR 3 (TRÊS) DIAS.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5BC4C21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3C16AFA" w14:textId="3AF0C09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1E31BC42" w14:textId="7DCE48C6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0FF5BB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00530B43" w14:textId="1AE53AC2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CE3B46D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68D7E16" w14:textId="4C517E59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72.500,00</w:t>
            </w:r>
          </w:p>
        </w:tc>
      </w:tr>
      <w:tr w:rsidR="000828B2" w:rsidRPr="000828B2" w14:paraId="5E63493A" w14:textId="77777777" w:rsidTr="000828B2">
        <w:trPr>
          <w:gridAfter w:val="1"/>
          <w:wAfter w:w="10" w:type="dxa"/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824CCB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BC8D332" w14:textId="77777777" w:rsidR="000828B2" w:rsidRPr="000828B2" w:rsidRDefault="000828B2" w:rsidP="000828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BANHEIRO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QUIMICO</w:t>
            </w: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LOCAÇÃO DE BANHEIRO QUIMICO INDIVIDUAL, PORTATEIS, COM MONTAGEM, MANUTENÇÃO DIÁRIA COM CAMINHÃO LIMPA FOSSA E DESMONTAGEM, MATERIAL EM POLIETILENO, COM TETO TRANSLÚCIDO, DOTADO DE ILUMINAÇÃO ARTIFICIAL, DIMENSÕES MÍNIMAS DE 1,10M DE FRENTE X 1,20MDE FUNDO X 2,30 DE ALTURA, COMPOSTO DE CAIXA DE DEJETO COM CAPACIDADE DE 220LITROS, PORTA PAPEL HIGIÊNICO, FECHAMENTO AUTOMÁTICO COM IDENTIFICAÇÃO DE OCUPADO, PARA USO DO PUBLICO EM GERAL,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0828B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DEVERÁ FICAR A DISPOSIÇÃO POR 4 (QUATRO) DIAS.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25B21FE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D33FECA" w14:textId="6DD891BE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EC26C57" w14:textId="6E8FFAB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3C32117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1FD9673E" w14:textId="19563314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25A80F9" w14:textId="77777777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512CD4A" w14:textId="5DEAEE29" w:rsidR="000828B2" w:rsidRPr="000828B2" w:rsidRDefault="000828B2" w:rsidP="000828B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828B2">
              <w:rPr>
                <w:rFonts w:ascii="Cambria" w:hAnsi="Cambria" w:cs="Calibri"/>
                <w:color w:val="000000"/>
                <w:sz w:val="16"/>
                <w:szCs w:val="16"/>
              </w:rPr>
              <w:t>93.750,00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0227F4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31F4B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C026A7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500FE5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64710B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BF2EB9D" w:rsidR="00961925" w:rsidRPr="00500FE5" w:rsidRDefault="003C6D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E73586">
        <w:rPr>
          <w:rFonts w:ascii="Cambria" w:hAnsi="Cambria" w:cs="Arial"/>
          <w:color w:val="000000"/>
        </w:rPr>
        <w:t>081/2021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5C950260" w:rsidR="00961925" w:rsidRPr="00500FE5" w:rsidRDefault="003C6D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34913AC1" w:rsidR="00961925" w:rsidRPr="00500FE5" w:rsidRDefault="00434734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lastRenderedPageBreak/>
        <w:t>III -</w:t>
      </w:r>
      <w:r w:rsidR="00961925" w:rsidRPr="00500FE5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3B42C4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Papagaios</w:t>
      </w:r>
      <w:r w:rsidR="00D30F1F">
        <w:rPr>
          <w:rFonts w:ascii="Cambria" w:hAnsi="Cambria"/>
          <w:color w:val="000000"/>
          <w:szCs w:val="24"/>
        </w:rPr>
        <w:t>/MG, 17 de novembro de 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4A7AC502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E4C786" w14:textId="77777777" w:rsidR="00E443EF" w:rsidRPr="00500FE5" w:rsidRDefault="00E443EF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91ED29A" w14:textId="77777777" w:rsidR="00E443EF" w:rsidRPr="00E443EF" w:rsidRDefault="00E443EF" w:rsidP="00E443E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443EF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6377473B" w:rsidR="00961925" w:rsidRPr="002472EF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472EF">
        <w:rPr>
          <w:rFonts w:ascii="Cambria" w:hAnsi="Cambria" w:cs="Arial"/>
          <w:b/>
          <w:bCs/>
          <w:i/>
          <w:iCs/>
          <w:color w:val="000000"/>
        </w:rPr>
        <w:t>Jurandy dos Santos Elias</w:t>
      </w:r>
    </w:p>
    <w:p w14:paraId="26C2CACA" w14:textId="149E0881" w:rsidR="00961925" w:rsidRPr="00500FE5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41.231.972/0001-74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28B2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36BD"/>
    <w:rsid w:val="00114592"/>
    <w:rsid w:val="00141979"/>
    <w:rsid w:val="00145157"/>
    <w:rsid w:val="00146E75"/>
    <w:rsid w:val="001652CB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2EF"/>
    <w:rsid w:val="00247BEF"/>
    <w:rsid w:val="0025562C"/>
    <w:rsid w:val="00257630"/>
    <w:rsid w:val="00266D75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6D08"/>
    <w:rsid w:val="003C72FB"/>
    <w:rsid w:val="003D06EF"/>
    <w:rsid w:val="003D1005"/>
    <w:rsid w:val="003D68E3"/>
    <w:rsid w:val="003D7B9C"/>
    <w:rsid w:val="003E2DAA"/>
    <w:rsid w:val="003F46E8"/>
    <w:rsid w:val="003F4A87"/>
    <w:rsid w:val="003F55D1"/>
    <w:rsid w:val="003F5810"/>
    <w:rsid w:val="003F604A"/>
    <w:rsid w:val="003F6A9B"/>
    <w:rsid w:val="004005C0"/>
    <w:rsid w:val="00406FA1"/>
    <w:rsid w:val="004114C2"/>
    <w:rsid w:val="00420BEB"/>
    <w:rsid w:val="00424BA2"/>
    <w:rsid w:val="004330A6"/>
    <w:rsid w:val="00434734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2D9B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4232"/>
    <w:rsid w:val="005F23F0"/>
    <w:rsid w:val="005F350D"/>
    <w:rsid w:val="005F471B"/>
    <w:rsid w:val="005F7E83"/>
    <w:rsid w:val="0060238C"/>
    <w:rsid w:val="00606D09"/>
    <w:rsid w:val="00614622"/>
    <w:rsid w:val="00621A8C"/>
    <w:rsid w:val="00622996"/>
    <w:rsid w:val="00622DC8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6AAE"/>
    <w:rsid w:val="00720F98"/>
    <w:rsid w:val="00723D45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25950"/>
    <w:rsid w:val="008318B7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35C9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2764A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B4465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75921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29D7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0F1F"/>
    <w:rsid w:val="00D31973"/>
    <w:rsid w:val="00D358F0"/>
    <w:rsid w:val="00D47A97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0BC0"/>
    <w:rsid w:val="00E23497"/>
    <w:rsid w:val="00E27843"/>
    <w:rsid w:val="00E33FEC"/>
    <w:rsid w:val="00E443EF"/>
    <w:rsid w:val="00E548A9"/>
    <w:rsid w:val="00E61995"/>
    <w:rsid w:val="00E73586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2274</Words>
  <Characters>12283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21</cp:revision>
  <cp:lastPrinted>2021-11-03T14:08:00Z</cp:lastPrinted>
  <dcterms:created xsi:type="dcterms:W3CDTF">2021-12-01T16:57:00Z</dcterms:created>
  <dcterms:modified xsi:type="dcterms:W3CDTF">2021-12-01T17:26:00Z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