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246CAEC6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E73586">
        <w:rPr>
          <w:rFonts w:ascii="Cambria" w:hAnsi="Cambria"/>
          <w:b/>
          <w:color w:val="000000"/>
          <w:szCs w:val="24"/>
        </w:rPr>
        <w:t>147/2021</w:t>
      </w:r>
    </w:p>
    <w:p w14:paraId="26C2C9FC" w14:textId="662D8443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E73586">
        <w:rPr>
          <w:rFonts w:ascii="Cambria" w:hAnsi="Cambria"/>
          <w:b/>
          <w:color w:val="000000"/>
          <w:szCs w:val="24"/>
        </w:rPr>
        <w:t>081/2021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79B8971D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825950">
        <w:rPr>
          <w:rFonts w:ascii="Cambria" w:hAnsi="Cambria"/>
          <w:color w:val="000000"/>
          <w:szCs w:val="24"/>
        </w:rPr>
        <w:t>064</w:t>
      </w:r>
      <w:r w:rsidR="002B773F">
        <w:rPr>
          <w:rFonts w:ascii="Cambria" w:hAnsi="Cambria"/>
          <w:color w:val="000000"/>
          <w:szCs w:val="24"/>
        </w:rPr>
        <w:t>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2B640C3E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E73586">
        <w:rPr>
          <w:rFonts w:ascii="Cambria" w:hAnsi="Cambria"/>
          <w:color w:val="000000"/>
          <w:szCs w:val="24"/>
        </w:rPr>
        <w:t>081/2021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70872D59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Nº </w:t>
      </w:r>
      <w:r w:rsidR="00E73586">
        <w:rPr>
          <w:rFonts w:ascii="Cambria" w:hAnsi="Cambria"/>
          <w:color w:val="000000"/>
          <w:szCs w:val="24"/>
        </w:rPr>
        <w:t>147/2021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430FC53B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Aos</w:t>
      </w:r>
      <w:r w:rsidR="00CB29D7">
        <w:rPr>
          <w:rFonts w:ascii="Cambria" w:hAnsi="Cambria" w:cs="Arial"/>
          <w:color w:val="000000"/>
        </w:rPr>
        <w:t xml:space="preserve"> 17 (dezessete) </w:t>
      </w:r>
      <w:r w:rsidRPr="00500FE5">
        <w:rPr>
          <w:rFonts w:ascii="Cambria" w:hAnsi="Cambria" w:cs="Arial"/>
          <w:color w:val="000000"/>
        </w:rPr>
        <w:t>dias do mês de</w:t>
      </w:r>
      <w:r w:rsidR="00CB29D7">
        <w:rPr>
          <w:rFonts w:ascii="Cambria" w:hAnsi="Cambria" w:cs="Arial"/>
          <w:color w:val="000000"/>
        </w:rPr>
        <w:t xml:space="preserve"> outubro</w:t>
      </w:r>
      <w:r w:rsidRPr="00500FE5">
        <w:rPr>
          <w:rFonts w:ascii="Cambria" w:hAnsi="Cambria" w:cs="Arial"/>
          <w:color w:val="000000"/>
        </w:rPr>
        <w:t xml:space="preserve"> de </w:t>
      </w:r>
      <w:r w:rsidR="009634F9" w:rsidRPr="00500FE5">
        <w:rPr>
          <w:rFonts w:ascii="Cambria" w:hAnsi="Cambria" w:cs="Arial"/>
          <w:color w:val="000000"/>
        </w:rPr>
        <w:t>2021</w:t>
      </w:r>
      <w:r w:rsidRPr="00500FE5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3D06EF">
        <w:rPr>
          <w:rFonts w:ascii="Cambria" w:hAnsi="Cambria" w:cs="Arial"/>
          <w:color w:val="000000"/>
        </w:rPr>
        <w:t>Avenida Francisco Valadares da Fonseca, nº. 250, bairro Vasco Lopes</w:t>
      </w:r>
      <w:r w:rsidR="00606D09">
        <w:rPr>
          <w:rFonts w:ascii="Cambria" w:hAnsi="Cambria" w:cs="Arial"/>
          <w:color w:val="000000"/>
        </w:rPr>
        <w:t>, Papagaios/MG, CEP 35.669-000</w:t>
      </w:r>
      <w:r w:rsidRPr="00500FE5">
        <w:rPr>
          <w:rFonts w:ascii="Cambria" w:hAnsi="Cambria" w:cs="Arial"/>
          <w:color w:val="000000"/>
        </w:rPr>
        <w:t xml:space="preserve">, o Exmo. Sr. Prefeito Municipal, Sr. </w:t>
      </w:r>
      <w:r w:rsidR="00E20BC0">
        <w:rPr>
          <w:rFonts w:ascii="Cambria" w:hAnsi="Cambria" w:cs="Arial"/>
          <w:color w:val="000000"/>
        </w:rPr>
        <w:t>Mário Reis Filgueiras</w:t>
      </w:r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E73586">
        <w:rPr>
          <w:rFonts w:ascii="Cambria" w:hAnsi="Cambria" w:cs="Arial"/>
          <w:color w:val="000000"/>
        </w:rPr>
        <w:t>081/2021</w:t>
      </w:r>
      <w:r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E73586">
        <w:rPr>
          <w:rFonts w:ascii="Cambria" w:hAnsi="Cambria" w:cs="Arial"/>
          <w:color w:val="000000"/>
        </w:rPr>
        <w:t>147/2021</w:t>
      </w:r>
      <w:r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DF535F">
        <w:rPr>
          <w:rFonts w:ascii="Cambria" w:hAnsi="Cambria" w:cs="Arial"/>
          <w:b/>
          <w:bCs/>
          <w:color w:val="000000"/>
        </w:rPr>
        <w:t>ALMIR GERALDO GONÇALVES 84688653620</w:t>
      </w:r>
      <w:r w:rsidR="00146E75">
        <w:rPr>
          <w:rFonts w:ascii="Cambria" w:hAnsi="Cambria" w:cs="Arial"/>
          <w:color w:val="000000"/>
        </w:rPr>
        <w:t xml:space="preserve">, </w:t>
      </w:r>
      <w:r w:rsidRPr="00500FE5">
        <w:rPr>
          <w:rFonts w:ascii="Cambria" w:hAnsi="Cambria" w:cs="Arial"/>
          <w:color w:val="000000"/>
        </w:rPr>
        <w:t xml:space="preserve">localizado na </w:t>
      </w:r>
      <w:r w:rsidR="00DF535F">
        <w:rPr>
          <w:rFonts w:ascii="Cambria" w:hAnsi="Cambria" w:cs="Arial"/>
          <w:color w:val="000000"/>
        </w:rPr>
        <w:t>Rua Neusa de Souza, nº. 59, Loteamento Cristina Capanema, Papagaios/MG, CEP 35.669-000</w:t>
      </w:r>
      <w:r w:rsidRPr="00500FE5">
        <w:rPr>
          <w:rFonts w:ascii="Cambria" w:hAnsi="Cambria" w:cs="Arial"/>
          <w:color w:val="000000"/>
        </w:rPr>
        <w:t xml:space="preserve">, cujo CNPJ é </w:t>
      </w:r>
      <w:r w:rsidR="005D7F4A">
        <w:rPr>
          <w:rFonts w:ascii="Cambria" w:hAnsi="Cambria" w:cs="Arial"/>
          <w:color w:val="000000"/>
        </w:rPr>
        <w:t>14.904.683/0001-1</w:t>
      </w:r>
      <w:r w:rsidR="00BD2A65">
        <w:rPr>
          <w:rFonts w:ascii="Cambria" w:hAnsi="Cambria" w:cs="Arial"/>
          <w:color w:val="000000"/>
        </w:rPr>
        <w:t>6</w:t>
      </w:r>
      <w:r w:rsidRPr="00500FE5">
        <w:rPr>
          <w:rFonts w:ascii="Cambria" w:hAnsi="Cambria" w:cs="Arial"/>
          <w:color w:val="000000"/>
        </w:rPr>
        <w:t xml:space="preserve">, neste ato representado por </w:t>
      </w:r>
      <w:r w:rsidR="009F034E">
        <w:rPr>
          <w:rFonts w:ascii="Cambria" w:hAnsi="Cambria" w:cs="Arial"/>
          <w:color w:val="000000"/>
        </w:rPr>
        <w:t>Almir Geraldo Gonçalves</w:t>
      </w:r>
      <w:r w:rsidR="004C2D9B">
        <w:rPr>
          <w:rFonts w:ascii="Cambria" w:hAnsi="Cambria" w:cs="Arial"/>
          <w:color w:val="000000"/>
        </w:rPr>
        <w:t>, inscrit</w:t>
      </w:r>
      <w:r w:rsidR="00004174">
        <w:rPr>
          <w:rFonts w:ascii="Cambria" w:hAnsi="Cambria" w:cs="Arial"/>
          <w:color w:val="000000"/>
        </w:rPr>
        <w:t>a</w:t>
      </w:r>
      <w:r w:rsidR="004C2D9B">
        <w:rPr>
          <w:rFonts w:ascii="Cambria" w:hAnsi="Cambria" w:cs="Arial"/>
          <w:color w:val="000000"/>
        </w:rPr>
        <w:t xml:space="preserve"> no CPF/MF sob o nº. </w:t>
      </w:r>
      <w:r w:rsidR="008B2A4D">
        <w:rPr>
          <w:rFonts w:ascii="Cambria" w:hAnsi="Cambria" w:cs="Arial"/>
          <w:color w:val="000000"/>
        </w:rPr>
        <w:t>846.886.536-20</w:t>
      </w:r>
      <w:r w:rsidRPr="00500FE5">
        <w:rPr>
          <w:rFonts w:ascii="Cambria" w:hAnsi="Cambria" w:cs="Arial"/>
          <w:color w:val="000000"/>
        </w:rPr>
        <w:t>, conforme quadro abaixo:</w:t>
      </w:r>
    </w:p>
    <w:p w14:paraId="26C2CA0A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1999"/>
        <w:gridCol w:w="869"/>
        <w:gridCol w:w="960"/>
        <w:gridCol w:w="1099"/>
        <w:gridCol w:w="983"/>
        <w:gridCol w:w="1099"/>
        <w:gridCol w:w="983"/>
        <w:gridCol w:w="1084"/>
      </w:tblGrid>
      <w:tr w:rsidR="00785AB1" w:rsidRPr="00AA67BA" w14:paraId="61372EC9" w14:textId="77777777" w:rsidTr="00785AB1">
        <w:trPr>
          <w:trHeight w:val="20"/>
        </w:trPr>
        <w:tc>
          <w:tcPr>
            <w:tcW w:w="558" w:type="dxa"/>
            <w:vMerge w:val="restart"/>
            <w:shd w:val="clear" w:color="auto" w:fill="auto"/>
            <w:vAlign w:val="center"/>
            <w:hideMark/>
          </w:tcPr>
          <w:p w14:paraId="300ABA9F" w14:textId="77777777" w:rsidR="00785AB1" w:rsidRPr="00AA67BA" w:rsidRDefault="00785AB1" w:rsidP="00AA67BA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14:paraId="26A63F9A" w14:textId="77777777" w:rsidR="00785AB1" w:rsidRPr="00AA67BA" w:rsidRDefault="00785AB1" w:rsidP="00AA67B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077" w:type="dxa"/>
            <w:gridSpan w:val="7"/>
            <w:shd w:val="clear" w:color="auto" w:fill="auto"/>
            <w:vAlign w:val="center"/>
            <w:hideMark/>
          </w:tcPr>
          <w:p w14:paraId="52E2C89E" w14:textId="77777777" w:rsidR="00785AB1" w:rsidRPr="00AA67BA" w:rsidRDefault="00785AB1" w:rsidP="00AA67B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785AB1" w:rsidRPr="00AA67BA" w14:paraId="44CCB447" w14:textId="77777777" w:rsidTr="00785AB1">
        <w:trPr>
          <w:trHeight w:val="20"/>
        </w:trPr>
        <w:tc>
          <w:tcPr>
            <w:tcW w:w="558" w:type="dxa"/>
            <w:vMerge/>
            <w:vAlign w:val="center"/>
            <w:hideMark/>
          </w:tcPr>
          <w:p w14:paraId="1D0AC99C" w14:textId="77777777" w:rsidR="00785AB1" w:rsidRPr="00AA67BA" w:rsidRDefault="00785AB1" w:rsidP="00AA67BA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14:paraId="41E5316D" w14:textId="77777777" w:rsidR="00785AB1" w:rsidRPr="00AA67BA" w:rsidRDefault="00785AB1" w:rsidP="00AA67BA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28" w:type="dxa"/>
            <w:gridSpan w:val="3"/>
            <w:shd w:val="clear" w:color="000000" w:fill="BFBFBF"/>
            <w:vAlign w:val="center"/>
            <w:hideMark/>
          </w:tcPr>
          <w:p w14:paraId="10A5EE94" w14:textId="77777777" w:rsidR="00785AB1" w:rsidRPr="00AA67BA" w:rsidRDefault="00785AB1" w:rsidP="00AA67B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2082" w:type="dxa"/>
            <w:gridSpan w:val="2"/>
            <w:shd w:val="clear" w:color="000000" w:fill="BFBFBF"/>
            <w:vAlign w:val="center"/>
            <w:hideMark/>
          </w:tcPr>
          <w:p w14:paraId="48BE5E49" w14:textId="77777777" w:rsidR="00785AB1" w:rsidRPr="00AA67BA" w:rsidRDefault="00785AB1" w:rsidP="00AA67B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2067" w:type="dxa"/>
            <w:gridSpan w:val="2"/>
            <w:shd w:val="clear" w:color="000000" w:fill="BFBFBF"/>
            <w:vAlign w:val="center"/>
            <w:hideMark/>
          </w:tcPr>
          <w:p w14:paraId="4A33EB0A" w14:textId="77777777" w:rsidR="00785AB1" w:rsidRPr="00AA67BA" w:rsidRDefault="00785AB1" w:rsidP="00AA67B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785AB1" w:rsidRPr="00AA67BA" w14:paraId="2662040C" w14:textId="77777777" w:rsidTr="00785AB1">
        <w:trPr>
          <w:trHeight w:val="276"/>
        </w:trPr>
        <w:tc>
          <w:tcPr>
            <w:tcW w:w="558" w:type="dxa"/>
            <w:vMerge/>
            <w:vAlign w:val="center"/>
            <w:hideMark/>
          </w:tcPr>
          <w:p w14:paraId="7C2CD2DE" w14:textId="77777777" w:rsidR="00785AB1" w:rsidRPr="00AA67BA" w:rsidRDefault="00785AB1" w:rsidP="00AA67BA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14:paraId="5EA28F00" w14:textId="77777777" w:rsidR="00785AB1" w:rsidRPr="00AA67BA" w:rsidRDefault="00785AB1" w:rsidP="00AA67BA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9" w:type="dxa"/>
            <w:vMerge w:val="restart"/>
            <w:shd w:val="clear" w:color="000000" w:fill="D9D9D9"/>
            <w:vAlign w:val="center"/>
            <w:hideMark/>
          </w:tcPr>
          <w:p w14:paraId="1D54D2B0" w14:textId="77777777" w:rsidR="00785AB1" w:rsidRPr="00AA67BA" w:rsidRDefault="00785AB1" w:rsidP="00AA67B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Qtde Estimada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14:paraId="5A235BB0" w14:textId="77777777" w:rsidR="00785AB1" w:rsidRPr="00AA67BA" w:rsidRDefault="00785AB1" w:rsidP="00AA67B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99" w:type="dxa"/>
            <w:vMerge w:val="restart"/>
            <w:shd w:val="clear" w:color="000000" w:fill="D9D9D9"/>
            <w:vAlign w:val="center"/>
            <w:hideMark/>
          </w:tcPr>
          <w:p w14:paraId="19816028" w14:textId="77777777" w:rsidR="00785AB1" w:rsidRPr="00AA67BA" w:rsidRDefault="00785AB1" w:rsidP="00AA67B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83" w:type="dxa"/>
            <w:vMerge w:val="restart"/>
            <w:shd w:val="clear" w:color="000000" w:fill="D9D9D9"/>
            <w:vAlign w:val="center"/>
            <w:hideMark/>
          </w:tcPr>
          <w:p w14:paraId="1352A39E" w14:textId="77777777" w:rsidR="00785AB1" w:rsidRPr="00AA67BA" w:rsidRDefault="00785AB1" w:rsidP="00AA67B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99" w:type="dxa"/>
            <w:vMerge w:val="restart"/>
            <w:shd w:val="clear" w:color="000000" w:fill="D9D9D9"/>
            <w:vAlign w:val="center"/>
            <w:hideMark/>
          </w:tcPr>
          <w:p w14:paraId="645BAA01" w14:textId="77777777" w:rsidR="00785AB1" w:rsidRPr="00AA67BA" w:rsidRDefault="00785AB1" w:rsidP="00AA67B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83" w:type="dxa"/>
            <w:vMerge w:val="restart"/>
            <w:shd w:val="clear" w:color="000000" w:fill="D9D9D9"/>
            <w:vAlign w:val="center"/>
            <w:hideMark/>
          </w:tcPr>
          <w:p w14:paraId="2B95DEC0" w14:textId="77777777" w:rsidR="00785AB1" w:rsidRPr="00AA67BA" w:rsidRDefault="00785AB1" w:rsidP="00AA67B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84" w:type="dxa"/>
            <w:vMerge w:val="restart"/>
            <w:shd w:val="clear" w:color="000000" w:fill="D9D9D9"/>
            <w:vAlign w:val="center"/>
            <w:hideMark/>
          </w:tcPr>
          <w:p w14:paraId="2F8F454A" w14:textId="77777777" w:rsidR="00785AB1" w:rsidRPr="00AA67BA" w:rsidRDefault="00785AB1" w:rsidP="00AA67B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Valor Total</w:t>
            </w:r>
          </w:p>
        </w:tc>
      </w:tr>
      <w:tr w:rsidR="00785AB1" w:rsidRPr="00AA67BA" w14:paraId="5920D6ED" w14:textId="77777777" w:rsidTr="00785AB1">
        <w:trPr>
          <w:trHeight w:val="276"/>
        </w:trPr>
        <w:tc>
          <w:tcPr>
            <w:tcW w:w="558" w:type="dxa"/>
            <w:vMerge/>
            <w:vAlign w:val="center"/>
            <w:hideMark/>
          </w:tcPr>
          <w:p w14:paraId="194203DF" w14:textId="77777777" w:rsidR="00785AB1" w:rsidRPr="00AA67BA" w:rsidRDefault="00785AB1" w:rsidP="00AA67BA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14:paraId="149B4EBE" w14:textId="77777777" w:rsidR="00785AB1" w:rsidRPr="00AA67BA" w:rsidRDefault="00785AB1" w:rsidP="00AA67BA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9" w:type="dxa"/>
            <w:vMerge/>
            <w:vAlign w:val="center"/>
            <w:hideMark/>
          </w:tcPr>
          <w:p w14:paraId="25288280" w14:textId="77777777" w:rsidR="00785AB1" w:rsidRPr="00AA67BA" w:rsidRDefault="00785AB1" w:rsidP="00AA67B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1E233A2D" w14:textId="77777777" w:rsidR="00785AB1" w:rsidRPr="00AA67BA" w:rsidRDefault="00785AB1" w:rsidP="00AA67B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14:paraId="487B8360" w14:textId="77777777" w:rsidR="00785AB1" w:rsidRPr="00AA67BA" w:rsidRDefault="00785AB1" w:rsidP="00AA67B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14:paraId="456BC81A" w14:textId="77777777" w:rsidR="00785AB1" w:rsidRPr="00AA67BA" w:rsidRDefault="00785AB1" w:rsidP="00AA67B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14:paraId="52E85932" w14:textId="77777777" w:rsidR="00785AB1" w:rsidRPr="00AA67BA" w:rsidRDefault="00785AB1" w:rsidP="00AA67B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14:paraId="36B2C581" w14:textId="77777777" w:rsidR="00785AB1" w:rsidRPr="00AA67BA" w:rsidRDefault="00785AB1" w:rsidP="00AA67B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034FC6C0" w14:textId="77777777" w:rsidR="00785AB1" w:rsidRPr="00AA67BA" w:rsidRDefault="00785AB1" w:rsidP="00AA67B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</w:tr>
      <w:tr w:rsidR="00785AB1" w:rsidRPr="00AA67BA" w14:paraId="3208F511" w14:textId="77777777" w:rsidTr="00785AB1">
        <w:trPr>
          <w:trHeight w:val="20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BE2242D" w14:textId="77777777" w:rsidR="00785AB1" w:rsidRPr="00AA67BA" w:rsidRDefault="00785AB1" w:rsidP="00AA67B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0D92C9A3" w14:textId="77777777" w:rsidR="00785AB1" w:rsidRPr="00AA67BA" w:rsidRDefault="00785AB1" w:rsidP="00AA67BA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AA67BA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TENDA MODELO PIRÂMIDE 10 X 10</w:t>
            </w:r>
            <w:r w:rsidRPr="00AA67BA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: COBERTURA EM LONA BRANCA ANTI-CHAMAS, COM CALHAS PARA ESCOAMENTO DE ÁGUA, MEDINDO 10X10M, PÉ DIREITO MÍNIMO 3,00M DE ALTURA NA PARTE BAIXA, EM PERFIL DE AÇO GALVANIZADO, MONTADA EM SISTEMA DE ENCAIXE. A LONA DEVERÁ ESTAR EM PERFEITO ESTADO DE CONSERVAÇÃO, SEM FUROS E ESTRAGOS. </w:t>
            </w:r>
            <w:r w:rsidRPr="00AA67BA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A DISPOSIÇÃO POR 1 (UM) DIA</w:t>
            </w:r>
            <w:r w:rsidRPr="00AA67BA">
              <w:rPr>
                <w:rFonts w:ascii="Verdana" w:hAnsi="Verdana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534E2C49" w14:textId="77777777" w:rsidR="00785AB1" w:rsidRPr="00AA67BA" w:rsidRDefault="00785AB1" w:rsidP="00785AB1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AA67BA">
              <w:rPr>
                <w:rFonts w:ascii="Verdana" w:hAnsi="Verdan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05BD97" w14:textId="477B6904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829,00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6C473839" w14:textId="0171872E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41.450,00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0344D1FB" w14:textId="77777777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0238339F" w14:textId="06BB2CAA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41.450,00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41211F66" w14:textId="77777777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2EBE6537" w14:textId="6FC02CB5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207.250,00</w:t>
            </w:r>
          </w:p>
        </w:tc>
      </w:tr>
      <w:tr w:rsidR="00785AB1" w:rsidRPr="00AA67BA" w14:paraId="2D6920B9" w14:textId="77777777" w:rsidTr="00785AB1">
        <w:trPr>
          <w:trHeight w:val="20"/>
        </w:trPr>
        <w:tc>
          <w:tcPr>
            <w:tcW w:w="558" w:type="dxa"/>
            <w:shd w:val="clear" w:color="auto" w:fill="auto"/>
            <w:vAlign w:val="center"/>
            <w:hideMark/>
          </w:tcPr>
          <w:p w14:paraId="1CAE5662" w14:textId="77777777" w:rsidR="00785AB1" w:rsidRPr="00AA67BA" w:rsidRDefault="00785AB1" w:rsidP="00AA67B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6734B2D5" w14:textId="77777777" w:rsidR="00785AB1" w:rsidRPr="00AA67BA" w:rsidRDefault="00785AB1" w:rsidP="00AA67BA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AA67BA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TENDA MODELO PIRÂMIDE 10 X 10</w:t>
            </w:r>
            <w:r w:rsidRPr="00AA67BA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: COBERTURA EM LONA BRANCA ANTI-CHAMAS, COM CALHAS PARA ESCOAMENTO DE ÁGUA, MEDINDO 10X10M, PÉ DIREITO MÍNIMO 3,00M </w:t>
            </w:r>
            <w:r w:rsidRPr="00AA67BA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 xml:space="preserve">DE ALTURA NA PARTE BAIXA, EM PERFIL DE AÇO GALVANIZADO, MONTADA EM SISTEMA DE ENCAIXE. A LONA DEVERÁ ESTAR EM PERFEITO ESTADO DE CONSERVAÇÃO, SEM FUROS E ESTRAGOS. </w:t>
            </w:r>
            <w:r w:rsidRPr="00AA67BA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A DISPOSIÇÃO POR 3 (TRÊS) DIAS.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6BBD8F49" w14:textId="77777777" w:rsidR="00785AB1" w:rsidRPr="00AA67BA" w:rsidRDefault="00785AB1" w:rsidP="00785AB1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AA67BA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2ED1AA" w14:textId="5D1CB603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1.040,00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392E4132" w14:textId="01F949D5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52.000,00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3E87FE38" w14:textId="77777777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02308922" w14:textId="292B7216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52.000,00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1B098837" w14:textId="77777777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57BB5590" w14:textId="48C63BF3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260.000,00</w:t>
            </w:r>
          </w:p>
        </w:tc>
      </w:tr>
      <w:tr w:rsidR="00785AB1" w:rsidRPr="00AA67BA" w14:paraId="5DEB6B2F" w14:textId="77777777" w:rsidTr="00785AB1">
        <w:trPr>
          <w:trHeight w:val="20"/>
        </w:trPr>
        <w:tc>
          <w:tcPr>
            <w:tcW w:w="558" w:type="dxa"/>
            <w:shd w:val="clear" w:color="auto" w:fill="auto"/>
            <w:vAlign w:val="center"/>
            <w:hideMark/>
          </w:tcPr>
          <w:p w14:paraId="351914C7" w14:textId="77777777" w:rsidR="00785AB1" w:rsidRPr="00AA67BA" w:rsidRDefault="00785AB1" w:rsidP="00AA67B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1E3ED948" w14:textId="77777777" w:rsidR="00785AB1" w:rsidRPr="00AA67BA" w:rsidRDefault="00785AB1" w:rsidP="00AA67BA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AA67BA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TENDA MODELO PIRÂMIDE</w:t>
            </w:r>
            <w:r w:rsidRPr="00AA67BA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, COBERTURA EM LONA BRANCA ANTI-CHAMAS, COM CALHAS PARA ESCOAMENTO DE ÁGUA, MEDINDO 5X5M, PÉ DIREITO DE 3,30M DE ALTURA, EM ESTRUTURA METÁLICA GALVANIZADA, MONTADA EM SISTEMA DE ENCAIXE. </w:t>
            </w:r>
            <w:r w:rsidRPr="00AA67BA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A DISPOSIÇÃO POR 1 (UM) DIA.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6C226177" w14:textId="77777777" w:rsidR="00785AB1" w:rsidRPr="00AA67BA" w:rsidRDefault="00785AB1" w:rsidP="00785AB1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AA67BA">
              <w:rPr>
                <w:rFonts w:ascii="Verdana" w:hAnsi="Verdan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0208EA" w14:textId="4D84B71C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2F1CEE6C" w14:textId="586F5A1B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10.500,00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03F370FE" w14:textId="77777777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2D4265E4" w14:textId="4084E62E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10.500,00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674B9658" w14:textId="77777777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59D3A8DA" w14:textId="3E49DEAC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52.500,00</w:t>
            </w:r>
          </w:p>
        </w:tc>
      </w:tr>
      <w:tr w:rsidR="00785AB1" w:rsidRPr="00AA67BA" w14:paraId="0ADDF623" w14:textId="77777777" w:rsidTr="00785AB1">
        <w:trPr>
          <w:trHeight w:val="20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B7BC411" w14:textId="77777777" w:rsidR="00785AB1" w:rsidRPr="00AA67BA" w:rsidRDefault="00785AB1" w:rsidP="00AA67B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461D796C" w14:textId="77777777" w:rsidR="00785AB1" w:rsidRPr="00AA67BA" w:rsidRDefault="00785AB1" w:rsidP="00AA67BA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AA67BA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TENDA MODELO PIRÂMIDE</w:t>
            </w:r>
            <w:r w:rsidRPr="00AA67BA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, COBERTURA EM LONA BRANCA ANTI-CHAMAS, COM CALHAS PARA ESCOAMENTO DE ÁGUA, MEDINDO 5X5M, PÉ DIREITO DE 3,30M DE ALTURA, EM ESTRUTURA METÁLICA GALVANIZADA, MONTADA EM SISTEMA DE ENCAIXE. </w:t>
            </w:r>
            <w:r w:rsidRPr="00AA67BA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A DISPOSIÇÃO POR 2 (DOIS) DIAS.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73C7F561" w14:textId="77777777" w:rsidR="00785AB1" w:rsidRPr="00AA67BA" w:rsidRDefault="00785AB1" w:rsidP="00785AB1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AA67BA">
              <w:rPr>
                <w:rFonts w:ascii="Verdana" w:hAnsi="Verdan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1D7F93" w14:textId="4750A99E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5BB415A0" w14:textId="04877CF5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26AE7232" w14:textId="77777777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0D5F9E31" w14:textId="6C088F5A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28446FDB" w14:textId="77777777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6483E4EC" w14:textId="34C9FB99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60.000,00</w:t>
            </w:r>
          </w:p>
        </w:tc>
      </w:tr>
      <w:tr w:rsidR="00785AB1" w:rsidRPr="00AA67BA" w14:paraId="17625F22" w14:textId="77777777" w:rsidTr="00785AB1">
        <w:trPr>
          <w:trHeight w:val="20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0385EA8" w14:textId="77777777" w:rsidR="00785AB1" w:rsidRPr="00AA67BA" w:rsidRDefault="00785AB1" w:rsidP="00AA67B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0D940084" w14:textId="77777777" w:rsidR="00785AB1" w:rsidRPr="00AA67BA" w:rsidRDefault="00785AB1" w:rsidP="00AA67BA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AA67BA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TENDA MODELO PIRÂMIDE</w:t>
            </w:r>
            <w:r w:rsidRPr="00AA67BA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, COBERTURA EM LONA BRANCA ANTI-CHAMAS, COM CALHAS PARA ESCOAMENTO DE ÁGUA, MEDINDO 8X8M, PÉ DIREITO DE 3,30M DE ALTURA, EM ESTRUTURA METÁLICA GALVANIZADA, MONTADA EM SISTEMA DE ENCAIXE. </w:t>
            </w:r>
            <w:r w:rsidRPr="00AA67BA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A DISPOSIÇÃO POR 1 (UM) DIA.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01E48540" w14:textId="77777777" w:rsidR="00785AB1" w:rsidRPr="00AA67BA" w:rsidRDefault="00785AB1" w:rsidP="00785AB1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AA67BA">
              <w:rPr>
                <w:rFonts w:ascii="Verdana" w:hAnsi="Verdan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D89A0F" w14:textId="1D7FB3EA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719,00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2E9B0B20" w14:textId="14EA0CF3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21.570,00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0D0686DF" w14:textId="77777777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4E70CDFC" w14:textId="6FF49E09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21.570,00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589B267F" w14:textId="77777777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5320A9D5" w14:textId="6E7002AC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107.850,00</w:t>
            </w:r>
          </w:p>
        </w:tc>
      </w:tr>
      <w:tr w:rsidR="00785AB1" w:rsidRPr="00AA67BA" w14:paraId="65FD6E76" w14:textId="77777777" w:rsidTr="00785AB1">
        <w:trPr>
          <w:trHeight w:val="20"/>
        </w:trPr>
        <w:tc>
          <w:tcPr>
            <w:tcW w:w="558" w:type="dxa"/>
            <w:shd w:val="clear" w:color="auto" w:fill="auto"/>
            <w:vAlign w:val="center"/>
            <w:hideMark/>
          </w:tcPr>
          <w:p w14:paraId="33E84ADB" w14:textId="77777777" w:rsidR="00785AB1" w:rsidRPr="00AA67BA" w:rsidRDefault="00785AB1" w:rsidP="00AA67B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51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718C938A" w14:textId="77777777" w:rsidR="00785AB1" w:rsidRPr="00AA67BA" w:rsidRDefault="00785AB1" w:rsidP="00AA67BA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AA67BA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BARRACA MODELO PIRÂMIDE</w:t>
            </w:r>
            <w:r w:rsidRPr="00AA67BA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, COBERTURA EM LONA BRANCA ANTI-CHAMAS, MEDINDO 3X3 MTS, MINIMO DE 2,50M DE ALTURA, EM PERFIL DE AÇO GALVANIZADO, MONTADA EM SISTEMA DE ENCAIXE. COM BALCÃO SUPERIOR NA FRENTE, LONA NOS 03 LADOS. </w:t>
            </w:r>
            <w:r w:rsidRPr="00AA67BA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A DISPOSIÇÃO</w:t>
            </w:r>
            <w:r w:rsidRPr="00AA67BA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</w:t>
            </w:r>
            <w:r w:rsidRPr="00AA67BA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POR 1 (UM) DIA</w:t>
            </w:r>
            <w:r w:rsidRPr="00AA67BA">
              <w:rPr>
                <w:rFonts w:ascii="Verdana" w:hAnsi="Verdana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3905091F" w14:textId="77777777" w:rsidR="00785AB1" w:rsidRPr="00AA67BA" w:rsidRDefault="00785AB1" w:rsidP="00785AB1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AA67BA">
              <w:rPr>
                <w:rFonts w:ascii="Verdana" w:hAnsi="Verdan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3BCAFF" w14:textId="1D496611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3DE75F38" w14:textId="7D37E2FB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12.500,00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703CC53A" w14:textId="77777777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666732C3" w14:textId="30E5FE5F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12.500,00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201343E0" w14:textId="77777777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1E1FA478" w14:textId="291C7F3A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62.500,00</w:t>
            </w:r>
          </w:p>
        </w:tc>
      </w:tr>
      <w:tr w:rsidR="00785AB1" w:rsidRPr="00AA67BA" w14:paraId="088E18A8" w14:textId="77777777" w:rsidTr="00785AB1">
        <w:trPr>
          <w:trHeight w:val="20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6839E2D" w14:textId="77777777" w:rsidR="00785AB1" w:rsidRPr="00AA67BA" w:rsidRDefault="00785AB1" w:rsidP="00AA67B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4258011C" w14:textId="77777777" w:rsidR="00785AB1" w:rsidRPr="00AA67BA" w:rsidRDefault="00785AB1" w:rsidP="00AA67BA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AA67BA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BARRACA MODELO PIRÂMIDE</w:t>
            </w:r>
            <w:r w:rsidRPr="00AA67BA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, COBERTURA EM LONA BRANCA ANTI-CHAMAS, MEDINDO 3X3 MTS, MINIMO DE 2,50M DE ALTURA, EM PERFIL DE AÇO GALVANIZADO, MONTADA EM SISTEMA DE ENCAIXE. COM BALCÃO SUPERIOR NA FRENTE, LONA NOS 03 </w:t>
            </w:r>
            <w:r w:rsidRPr="00AA67BA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 xml:space="preserve">LADOS. </w:t>
            </w:r>
            <w:r w:rsidRPr="00AA67BA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A DISPOSIÇÃO POR 5 (CINCO) DIAS.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452F6411" w14:textId="77777777" w:rsidR="00785AB1" w:rsidRPr="00AA67BA" w:rsidRDefault="00785AB1" w:rsidP="00785AB1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AA67BA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1EB24C" w14:textId="345A2693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375,00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22AAEA73" w14:textId="24740C6D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18.750,00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11F0F347" w14:textId="77777777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63B1B8CB" w14:textId="0572557E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18.750,00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340B20F5" w14:textId="77777777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29FC2F59" w14:textId="3ED326C4" w:rsidR="00785AB1" w:rsidRPr="00AA67BA" w:rsidRDefault="00785AB1" w:rsidP="00785AB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A67BA">
              <w:rPr>
                <w:rFonts w:ascii="Cambria" w:hAnsi="Cambria" w:cs="Calibri"/>
                <w:color w:val="000000"/>
                <w:sz w:val="14"/>
                <w:szCs w:val="14"/>
              </w:rPr>
              <w:t>93.750,00</w:t>
            </w:r>
          </w:p>
        </w:tc>
      </w:tr>
    </w:tbl>
    <w:p w14:paraId="26C2CA2D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I </w:t>
      </w:r>
      <w:r w:rsidRPr="00500FE5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500FE5">
        <w:rPr>
          <w:rFonts w:ascii="Cambria" w:hAnsi="Cambria"/>
          <w:color w:val="000000"/>
        </w:rPr>
        <w:t>do quadro acima</w:t>
      </w:r>
      <w:r w:rsidRPr="00500FE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500FE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03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500FE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04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40227F4C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E73586">
        <w:rPr>
          <w:rFonts w:ascii="Cambria" w:hAnsi="Cambria"/>
          <w:color w:val="000000"/>
          <w:szCs w:val="24"/>
        </w:rPr>
        <w:t>081/2021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1F31F4B2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E73586">
        <w:rPr>
          <w:rFonts w:ascii="Cambria" w:hAnsi="Cambria"/>
          <w:color w:val="000000"/>
          <w:szCs w:val="24"/>
        </w:rPr>
        <w:t>081/2021</w:t>
      </w:r>
      <w:r w:rsidRPr="00500FE5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500FE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3C026A7E" w:rsidR="00961925" w:rsidRPr="00500FE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E73586">
        <w:rPr>
          <w:rFonts w:ascii="Cambria" w:hAnsi="Cambria"/>
          <w:color w:val="000000"/>
          <w:szCs w:val="24"/>
        </w:rPr>
        <w:t>081/2021</w:t>
      </w:r>
      <w:r w:rsidRPr="00500FE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05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26C2CA49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500FE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06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E" w14:textId="77777777" w:rsidR="00094E69" w:rsidRPr="00500FE5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  <w:r w:rsidRPr="00500FE5">
        <w:rPr>
          <w:rFonts w:ascii="Cambria" w:hAnsi="Cambria"/>
          <w:szCs w:val="24"/>
        </w:rPr>
        <w:t xml:space="preserve">I </w:t>
      </w:r>
      <w:r w:rsidRPr="00500FE5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500FE5">
        <w:rPr>
          <w:rFonts w:ascii="Cambria" w:hAnsi="Cambria"/>
          <w:bCs/>
          <w:szCs w:val="24"/>
        </w:rPr>
        <w:t xml:space="preserve">em até 30 (trinta) dias após recebimento </w:t>
      </w:r>
      <w:r w:rsidRPr="00500FE5">
        <w:rPr>
          <w:rFonts w:ascii="Cambria" w:hAnsi="Cambria"/>
          <w:szCs w:val="24"/>
        </w:rPr>
        <w:t>definitivo pela unidade requisitante</w:t>
      </w:r>
      <w:r w:rsidRPr="00500FE5">
        <w:rPr>
          <w:rFonts w:ascii="Cambria" w:hAnsi="Cambria"/>
          <w:bCs/>
          <w:szCs w:val="24"/>
        </w:rPr>
        <w:t xml:space="preserve"> do objeto, </w:t>
      </w:r>
      <w:r w:rsidRPr="00500FE5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onde:</w:t>
      </w:r>
    </w:p>
    <w:p w14:paraId="26C2CA54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EM =</w:t>
      </w:r>
      <w:r w:rsidRPr="00500FE5">
        <w:rPr>
          <w:rFonts w:ascii="Cambria" w:hAnsi="Cambria" w:cs="Arial"/>
        </w:rPr>
        <w:t xml:space="preserve"> Encargos moratórios;</w:t>
      </w:r>
    </w:p>
    <w:p w14:paraId="26C2CA55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VP =</w:t>
      </w:r>
      <w:r w:rsidRPr="00500FE5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N =</w:t>
      </w:r>
      <w:r w:rsidRPr="00500FE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</w:t>
      </w:r>
      <w:r w:rsidRPr="00500FE5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 (</w:t>
      </w:r>
      <w:r w:rsidRPr="00500FE5">
        <w:rPr>
          <w:rFonts w:ascii="Cambria" w:hAnsi="Cambria" w:cs="Arial"/>
          <w:b/>
          <w:bCs/>
          <w:u w:val="single"/>
        </w:rPr>
        <w:t>TX / 100</w:t>
      </w:r>
      <w:r w:rsidRPr="00500FE5">
        <w:rPr>
          <w:rFonts w:ascii="Cambria" w:hAnsi="Cambria" w:cs="Arial"/>
          <w:b/>
          <w:bCs/>
        </w:rPr>
        <w:t>)</w:t>
      </w:r>
    </w:p>
    <w:p w14:paraId="26C2CA5A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eastAsia="Arial" w:hAnsi="Cambria" w:cs="Arial"/>
          <w:b/>
          <w:bCs/>
        </w:rPr>
        <w:t xml:space="preserve">    </w:t>
      </w:r>
      <w:r w:rsidRPr="00500FE5">
        <w:rPr>
          <w:rFonts w:ascii="Cambria" w:hAnsi="Cambria" w:cs="Arial"/>
          <w:b/>
          <w:bCs/>
        </w:rPr>
        <w:t>30</w:t>
      </w:r>
    </w:p>
    <w:p w14:paraId="26C2CA5B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  <w:b/>
          <w:bCs/>
        </w:rPr>
        <w:t xml:space="preserve">TX = </w:t>
      </w:r>
      <w:r w:rsidRPr="00500FE5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07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IV </w:t>
      </w:r>
      <w:r w:rsidRPr="00500FE5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26C2CA6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 </w:t>
      </w:r>
      <w:r w:rsidRPr="00500FE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 </w:t>
      </w:r>
      <w:r w:rsidRPr="00500FE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VII </w:t>
      </w:r>
      <w:r w:rsidRPr="00500FE5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26C2CA6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500FE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08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500FE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500FE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00FE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lastRenderedPageBreak/>
        <w:t>b) transferência total ou parcial do contrato a terceiros;</w:t>
      </w:r>
    </w:p>
    <w:p w14:paraId="26C2CA81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- </w:t>
      </w:r>
      <w:r w:rsidRPr="00500FE5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500FE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500FE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09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264710B6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E73586">
        <w:rPr>
          <w:rFonts w:ascii="Cambria" w:hAnsi="Cambria"/>
          <w:color w:val="000000"/>
          <w:szCs w:val="24"/>
        </w:rPr>
        <w:t>081/2021</w:t>
      </w:r>
      <w:r w:rsidRPr="00500FE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6C2CA9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10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6C2CA9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26C2CA9F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B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C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D </w:t>
      </w:r>
      <w:r w:rsidRPr="00500FE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E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F </w:t>
      </w:r>
      <w:r w:rsidRPr="00500FE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G </w:t>
      </w:r>
      <w:r w:rsidRPr="00500FE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b/>
          <w:color w:val="000000"/>
        </w:rPr>
        <w:t>Pelas detentoras, quando</w:t>
      </w:r>
      <w:r w:rsidRPr="00500FE5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500FE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</w:t>
      </w:r>
      <w:r w:rsidRPr="00500FE5">
        <w:rPr>
          <w:rFonts w:ascii="Cambria" w:hAnsi="Cambria"/>
          <w:b/>
          <w:color w:val="000000"/>
          <w:szCs w:val="24"/>
        </w:rPr>
        <w:t xml:space="preserve"> </w:t>
      </w:r>
      <w:r w:rsidRPr="00500FE5">
        <w:rPr>
          <w:rFonts w:ascii="Cambria" w:hAnsi="Cambria"/>
          <w:b/>
          <w:color w:val="000000"/>
          <w:szCs w:val="24"/>
        </w:rPr>
        <w:noBreakHyphen/>
      </w:r>
      <w:r w:rsidRPr="00500FE5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26C2CAB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7C1E942D" w:rsidR="00961925" w:rsidRPr="00500FE5" w:rsidRDefault="00780522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- </w:t>
      </w:r>
      <w:r w:rsidR="00961925" w:rsidRPr="00500FE5">
        <w:rPr>
          <w:rFonts w:ascii="Cambria" w:hAnsi="Cambria" w:cs="Arial"/>
          <w:color w:val="000000"/>
        </w:rPr>
        <w:t xml:space="preserve">Integram esta Ata, o edital do Pregão nº </w:t>
      </w:r>
      <w:r w:rsidR="00E73586">
        <w:rPr>
          <w:rFonts w:ascii="Cambria" w:hAnsi="Cambria" w:cs="Arial"/>
          <w:color w:val="000000"/>
        </w:rPr>
        <w:t>081/2021</w:t>
      </w:r>
      <w:r w:rsidR="00961925" w:rsidRPr="00500FE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0405A762" w:rsidR="00961925" w:rsidRPr="00500FE5" w:rsidRDefault="00F24B50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 - </w:t>
      </w:r>
      <w:r w:rsidR="00961925" w:rsidRPr="00500FE5">
        <w:rPr>
          <w:rFonts w:ascii="Cambria" w:hAnsi="Cambria"/>
          <w:color w:val="000000"/>
          <w:szCs w:val="24"/>
        </w:rPr>
        <w:t>Fica eleito o foro desta Comarca de Pitangui/MG para dirimir quaisquer questões decorrentes da utilização da presente Ata.</w:t>
      </w:r>
    </w:p>
    <w:p w14:paraId="26C2CABA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3E00C720" w:rsidR="00961925" w:rsidRPr="00500FE5" w:rsidRDefault="001B7CD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- </w:t>
      </w:r>
      <w:r w:rsidR="00961925" w:rsidRPr="00500FE5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E" w14:textId="77777777" w:rsidR="00961925" w:rsidRPr="00500FE5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26C2CABF" w14:textId="3B42C411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Papagaios</w:t>
      </w:r>
      <w:r w:rsidR="00D30F1F">
        <w:rPr>
          <w:rFonts w:ascii="Cambria" w:hAnsi="Cambria"/>
          <w:color w:val="000000"/>
          <w:szCs w:val="24"/>
        </w:rPr>
        <w:t>/MG, 17 de novembro de 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C0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4A7AC502" w:rsidR="0096192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2E4C786" w14:textId="77777777" w:rsidR="00E443EF" w:rsidRPr="00500FE5" w:rsidRDefault="00E443EF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91ED29A" w14:textId="77777777" w:rsidR="00E443EF" w:rsidRPr="00E443EF" w:rsidRDefault="00E443EF" w:rsidP="00E443EF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E443EF">
        <w:rPr>
          <w:rFonts w:ascii="Cambria" w:hAnsi="Cambria" w:cs="Arial"/>
          <w:b/>
          <w:bCs/>
          <w:i/>
          <w:iCs/>
          <w:color w:val="000000"/>
        </w:rPr>
        <w:t>Mário Reis Filgueiras</w:t>
      </w:r>
    </w:p>
    <w:p w14:paraId="26C2CAC4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0C2F53C1" w:rsidR="00961925" w:rsidRPr="002472EF" w:rsidRDefault="00F10429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>Almir Geraldo Gonçalves 84688653620</w:t>
      </w:r>
    </w:p>
    <w:p w14:paraId="26C2CACA" w14:textId="6F17BD77" w:rsidR="00961925" w:rsidRPr="00500FE5" w:rsidRDefault="00E443EF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8B69CB">
        <w:rPr>
          <w:rFonts w:ascii="Cambria" w:hAnsi="Cambria" w:cs="Arial"/>
          <w:color w:val="000000"/>
        </w:rPr>
        <w:t>14.904.683/0001-16</w:t>
      </w:r>
    </w:p>
    <w:sectPr w:rsidR="00961925" w:rsidRPr="00500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062F2"/>
    <w:multiLevelType w:val="multilevel"/>
    <w:tmpl w:val="40B8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5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4"/>
  </w:num>
  <w:num w:numId="12">
    <w:abstractNumId w:val="16"/>
  </w:num>
  <w:num w:numId="13">
    <w:abstractNumId w:val="33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2CE0"/>
    <w:rsid w:val="00003AA2"/>
    <w:rsid w:val="00004174"/>
    <w:rsid w:val="000148B4"/>
    <w:rsid w:val="0002060E"/>
    <w:rsid w:val="00026B1B"/>
    <w:rsid w:val="000417AD"/>
    <w:rsid w:val="00043F8A"/>
    <w:rsid w:val="00044035"/>
    <w:rsid w:val="00050F88"/>
    <w:rsid w:val="0005239B"/>
    <w:rsid w:val="0005728F"/>
    <w:rsid w:val="0006281E"/>
    <w:rsid w:val="00071AFE"/>
    <w:rsid w:val="00071E54"/>
    <w:rsid w:val="000770C1"/>
    <w:rsid w:val="000828B2"/>
    <w:rsid w:val="00083DD1"/>
    <w:rsid w:val="0008701C"/>
    <w:rsid w:val="0009218A"/>
    <w:rsid w:val="00094E69"/>
    <w:rsid w:val="00095633"/>
    <w:rsid w:val="000977B5"/>
    <w:rsid w:val="000A16D8"/>
    <w:rsid w:val="000A55EC"/>
    <w:rsid w:val="000C4BB7"/>
    <w:rsid w:val="000D2403"/>
    <w:rsid w:val="000E2AF9"/>
    <w:rsid w:val="000E427B"/>
    <w:rsid w:val="000E479B"/>
    <w:rsid w:val="000F3542"/>
    <w:rsid w:val="0010144B"/>
    <w:rsid w:val="001136BD"/>
    <w:rsid w:val="00114592"/>
    <w:rsid w:val="00134469"/>
    <w:rsid w:val="00141979"/>
    <w:rsid w:val="00145157"/>
    <w:rsid w:val="00146E75"/>
    <w:rsid w:val="001652CB"/>
    <w:rsid w:val="00173E14"/>
    <w:rsid w:val="00176770"/>
    <w:rsid w:val="00185868"/>
    <w:rsid w:val="001A15A9"/>
    <w:rsid w:val="001A5F93"/>
    <w:rsid w:val="001B571F"/>
    <w:rsid w:val="001B5D1E"/>
    <w:rsid w:val="001B7CDF"/>
    <w:rsid w:val="001D46C5"/>
    <w:rsid w:val="001E0899"/>
    <w:rsid w:val="001E33B5"/>
    <w:rsid w:val="001E7E87"/>
    <w:rsid w:val="00200713"/>
    <w:rsid w:val="002045A5"/>
    <w:rsid w:val="00210FD8"/>
    <w:rsid w:val="00213D3F"/>
    <w:rsid w:val="00223E84"/>
    <w:rsid w:val="0023664E"/>
    <w:rsid w:val="002472EF"/>
    <w:rsid w:val="00247BEF"/>
    <w:rsid w:val="0025562C"/>
    <w:rsid w:val="00257630"/>
    <w:rsid w:val="00266D75"/>
    <w:rsid w:val="0027092D"/>
    <w:rsid w:val="00273022"/>
    <w:rsid w:val="002741AF"/>
    <w:rsid w:val="002770C2"/>
    <w:rsid w:val="00284BEF"/>
    <w:rsid w:val="00290BD1"/>
    <w:rsid w:val="002A01B8"/>
    <w:rsid w:val="002B7728"/>
    <w:rsid w:val="002B773F"/>
    <w:rsid w:val="002C36F6"/>
    <w:rsid w:val="002C5D24"/>
    <w:rsid w:val="002D3DAC"/>
    <w:rsid w:val="002E4F4B"/>
    <w:rsid w:val="002E7700"/>
    <w:rsid w:val="00301908"/>
    <w:rsid w:val="003059DD"/>
    <w:rsid w:val="00305E4E"/>
    <w:rsid w:val="003102B1"/>
    <w:rsid w:val="00310533"/>
    <w:rsid w:val="003120FD"/>
    <w:rsid w:val="00312A4F"/>
    <w:rsid w:val="003209D5"/>
    <w:rsid w:val="00321065"/>
    <w:rsid w:val="003243CA"/>
    <w:rsid w:val="003405CA"/>
    <w:rsid w:val="00344A85"/>
    <w:rsid w:val="003457EA"/>
    <w:rsid w:val="00346EE3"/>
    <w:rsid w:val="00356246"/>
    <w:rsid w:val="00357D85"/>
    <w:rsid w:val="0037210D"/>
    <w:rsid w:val="0039711B"/>
    <w:rsid w:val="003B0F42"/>
    <w:rsid w:val="003B348D"/>
    <w:rsid w:val="003B78C9"/>
    <w:rsid w:val="003C1580"/>
    <w:rsid w:val="003C5BCC"/>
    <w:rsid w:val="003C6857"/>
    <w:rsid w:val="003C72FB"/>
    <w:rsid w:val="003D06EF"/>
    <w:rsid w:val="003D1005"/>
    <w:rsid w:val="003D68E3"/>
    <w:rsid w:val="003D7B9C"/>
    <w:rsid w:val="003E2DAA"/>
    <w:rsid w:val="003F46E8"/>
    <w:rsid w:val="003F4A87"/>
    <w:rsid w:val="003F55D1"/>
    <w:rsid w:val="003F5810"/>
    <w:rsid w:val="003F604A"/>
    <w:rsid w:val="003F6A9B"/>
    <w:rsid w:val="004005C0"/>
    <w:rsid w:val="00406FA1"/>
    <w:rsid w:val="004114C2"/>
    <w:rsid w:val="00420BEB"/>
    <w:rsid w:val="00424BA2"/>
    <w:rsid w:val="004330A6"/>
    <w:rsid w:val="00443E0F"/>
    <w:rsid w:val="00451DFE"/>
    <w:rsid w:val="004526D9"/>
    <w:rsid w:val="004539B5"/>
    <w:rsid w:val="0045544C"/>
    <w:rsid w:val="00460ED7"/>
    <w:rsid w:val="00464B83"/>
    <w:rsid w:val="00474141"/>
    <w:rsid w:val="004868C0"/>
    <w:rsid w:val="004A0C06"/>
    <w:rsid w:val="004B12BE"/>
    <w:rsid w:val="004B39EA"/>
    <w:rsid w:val="004C2D9B"/>
    <w:rsid w:val="004C764B"/>
    <w:rsid w:val="004D02AA"/>
    <w:rsid w:val="004D6DE9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101A8"/>
    <w:rsid w:val="0051487E"/>
    <w:rsid w:val="005209D0"/>
    <w:rsid w:val="00535846"/>
    <w:rsid w:val="00540BB5"/>
    <w:rsid w:val="0054245F"/>
    <w:rsid w:val="00561D33"/>
    <w:rsid w:val="00573148"/>
    <w:rsid w:val="00582B18"/>
    <w:rsid w:val="00583D1F"/>
    <w:rsid w:val="00590C12"/>
    <w:rsid w:val="005937A6"/>
    <w:rsid w:val="00593DAD"/>
    <w:rsid w:val="005A0CC7"/>
    <w:rsid w:val="005A3440"/>
    <w:rsid w:val="005A6AD1"/>
    <w:rsid w:val="005C2EAB"/>
    <w:rsid w:val="005D7F4A"/>
    <w:rsid w:val="005E4232"/>
    <w:rsid w:val="005F23F0"/>
    <w:rsid w:val="005F350D"/>
    <w:rsid w:val="005F471B"/>
    <w:rsid w:val="005F7E83"/>
    <w:rsid w:val="0060238C"/>
    <w:rsid w:val="00606D09"/>
    <w:rsid w:val="00614622"/>
    <w:rsid w:val="00621A8C"/>
    <w:rsid w:val="00622996"/>
    <w:rsid w:val="00622DC8"/>
    <w:rsid w:val="00635858"/>
    <w:rsid w:val="00642AEE"/>
    <w:rsid w:val="00647358"/>
    <w:rsid w:val="00655547"/>
    <w:rsid w:val="00656F20"/>
    <w:rsid w:val="006630AF"/>
    <w:rsid w:val="0066409A"/>
    <w:rsid w:val="006709C5"/>
    <w:rsid w:val="00681B7E"/>
    <w:rsid w:val="006853C0"/>
    <w:rsid w:val="00694DC5"/>
    <w:rsid w:val="006976A3"/>
    <w:rsid w:val="006A06B2"/>
    <w:rsid w:val="006B2CDF"/>
    <w:rsid w:val="006B6FB2"/>
    <w:rsid w:val="006C3979"/>
    <w:rsid w:val="006C4315"/>
    <w:rsid w:val="006D15DD"/>
    <w:rsid w:val="006D7103"/>
    <w:rsid w:val="006E2DC9"/>
    <w:rsid w:val="006E6F38"/>
    <w:rsid w:val="006E7153"/>
    <w:rsid w:val="006F2F8D"/>
    <w:rsid w:val="006F450D"/>
    <w:rsid w:val="006F7B8E"/>
    <w:rsid w:val="00706AAE"/>
    <w:rsid w:val="00715EEF"/>
    <w:rsid w:val="00720F98"/>
    <w:rsid w:val="00723D45"/>
    <w:rsid w:val="007301AD"/>
    <w:rsid w:val="00731730"/>
    <w:rsid w:val="0073510B"/>
    <w:rsid w:val="00746626"/>
    <w:rsid w:val="0075147A"/>
    <w:rsid w:val="00757D2C"/>
    <w:rsid w:val="0076051C"/>
    <w:rsid w:val="0076263D"/>
    <w:rsid w:val="00764C26"/>
    <w:rsid w:val="00765FCA"/>
    <w:rsid w:val="0077017E"/>
    <w:rsid w:val="00775080"/>
    <w:rsid w:val="00775184"/>
    <w:rsid w:val="00776692"/>
    <w:rsid w:val="0077770E"/>
    <w:rsid w:val="00777A1B"/>
    <w:rsid w:val="00780522"/>
    <w:rsid w:val="00781F43"/>
    <w:rsid w:val="007832AD"/>
    <w:rsid w:val="00785AB1"/>
    <w:rsid w:val="00790E98"/>
    <w:rsid w:val="00792482"/>
    <w:rsid w:val="00796EC9"/>
    <w:rsid w:val="007A6534"/>
    <w:rsid w:val="007A68CA"/>
    <w:rsid w:val="007B5DF6"/>
    <w:rsid w:val="007C1F72"/>
    <w:rsid w:val="007C2127"/>
    <w:rsid w:val="007C292D"/>
    <w:rsid w:val="007C4316"/>
    <w:rsid w:val="007D0C1B"/>
    <w:rsid w:val="007D35B8"/>
    <w:rsid w:val="007E65F8"/>
    <w:rsid w:val="007E7333"/>
    <w:rsid w:val="007F2DDB"/>
    <w:rsid w:val="007F35AD"/>
    <w:rsid w:val="007F6918"/>
    <w:rsid w:val="007F796A"/>
    <w:rsid w:val="00801035"/>
    <w:rsid w:val="008020A0"/>
    <w:rsid w:val="00804E05"/>
    <w:rsid w:val="008111E2"/>
    <w:rsid w:val="00813AE6"/>
    <w:rsid w:val="00816A61"/>
    <w:rsid w:val="00823D9E"/>
    <w:rsid w:val="00825950"/>
    <w:rsid w:val="008318B7"/>
    <w:rsid w:val="00832236"/>
    <w:rsid w:val="00844F2C"/>
    <w:rsid w:val="008477ED"/>
    <w:rsid w:val="008505E3"/>
    <w:rsid w:val="00853118"/>
    <w:rsid w:val="008537C3"/>
    <w:rsid w:val="008544BD"/>
    <w:rsid w:val="00854DF8"/>
    <w:rsid w:val="00857704"/>
    <w:rsid w:val="008655EC"/>
    <w:rsid w:val="00865AE6"/>
    <w:rsid w:val="008735C9"/>
    <w:rsid w:val="008763DC"/>
    <w:rsid w:val="00877603"/>
    <w:rsid w:val="00891BB4"/>
    <w:rsid w:val="008A4BCA"/>
    <w:rsid w:val="008A7C06"/>
    <w:rsid w:val="008B1FC1"/>
    <w:rsid w:val="008B2A4D"/>
    <w:rsid w:val="008B69CB"/>
    <w:rsid w:val="008D6E6C"/>
    <w:rsid w:val="008D6F90"/>
    <w:rsid w:val="008E37E5"/>
    <w:rsid w:val="008E594C"/>
    <w:rsid w:val="00900A87"/>
    <w:rsid w:val="0092764A"/>
    <w:rsid w:val="00934867"/>
    <w:rsid w:val="009615FB"/>
    <w:rsid w:val="00961925"/>
    <w:rsid w:val="009634F9"/>
    <w:rsid w:val="00964DC0"/>
    <w:rsid w:val="00974F02"/>
    <w:rsid w:val="00977B31"/>
    <w:rsid w:val="00980456"/>
    <w:rsid w:val="00986715"/>
    <w:rsid w:val="00987780"/>
    <w:rsid w:val="009A702F"/>
    <w:rsid w:val="009A70DC"/>
    <w:rsid w:val="009B1C3D"/>
    <w:rsid w:val="009B4465"/>
    <w:rsid w:val="009B4712"/>
    <w:rsid w:val="009C09EF"/>
    <w:rsid w:val="009C1E5F"/>
    <w:rsid w:val="009C344D"/>
    <w:rsid w:val="009D484C"/>
    <w:rsid w:val="009E6A68"/>
    <w:rsid w:val="009E75B2"/>
    <w:rsid w:val="009E77A5"/>
    <w:rsid w:val="009F034E"/>
    <w:rsid w:val="009F1180"/>
    <w:rsid w:val="009F1F60"/>
    <w:rsid w:val="009F2BBE"/>
    <w:rsid w:val="009F3240"/>
    <w:rsid w:val="009F6591"/>
    <w:rsid w:val="00A00900"/>
    <w:rsid w:val="00A1454D"/>
    <w:rsid w:val="00A15133"/>
    <w:rsid w:val="00A22626"/>
    <w:rsid w:val="00A23322"/>
    <w:rsid w:val="00A25F70"/>
    <w:rsid w:val="00A27882"/>
    <w:rsid w:val="00A309C3"/>
    <w:rsid w:val="00A31AC8"/>
    <w:rsid w:val="00A33EC6"/>
    <w:rsid w:val="00A409C7"/>
    <w:rsid w:val="00A6128B"/>
    <w:rsid w:val="00A61E0C"/>
    <w:rsid w:val="00A644AA"/>
    <w:rsid w:val="00A64D5F"/>
    <w:rsid w:val="00A64F5E"/>
    <w:rsid w:val="00A71E72"/>
    <w:rsid w:val="00A75921"/>
    <w:rsid w:val="00A91212"/>
    <w:rsid w:val="00AA67BA"/>
    <w:rsid w:val="00AB7BB6"/>
    <w:rsid w:val="00AC0E53"/>
    <w:rsid w:val="00AC12AE"/>
    <w:rsid w:val="00AC4838"/>
    <w:rsid w:val="00AC48B4"/>
    <w:rsid w:val="00AC65DE"/>
    <w:rsid w:val="00AD0F4F"/>
    <w:rsid w:val="00AD2662"/>
    <w:rsid w:val="00AD51E8"/>
    <w:rsid w:val="00AD5666"/>
    <w:rsid w:val="00AE7BED"/>
    <w:rsid w:val="00AF3D6E"/>
    <w:rsid w:val="00AF7D77"/>
    <w:rsid w:val="00B00BE4"/>
    <w:rsid w:val="00B1572C"/>
    <w:rsid w:val="00B20939"/>
    <w:rsid w:val="00B20F5A"/>
    <w:rsid w:val="00B2583C"/>
    <w:rsid w:val="00B276F6"/>
    <w:rsid w:val="00B27EB9"/>
    <w:rsid w:val="00B328B9"/>
    <w:rsid w:val="00B32E89"/>
    <w:rsid w:val="00B40B72"/>
    <w:rsid w:val="00B414FC"/>
    <w:rsid w:val="00B42289"/>
    <w:rsid w:val="00B4414D"/>
    <w:rsid w:val="00B61D3F"/>
    <w:rsid w:val="00B62020"/>
    <w:rsid w:val="00B80EBE"/>
    <w:rsid w:val="00B907F8"/>
    <w:rsid w:val="00B92C88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D06EE"/>
    <w:rsid w:val="00BD2A65"/>
    <w:rsid w:val="00BD4F39"/>
    <w:rsid w:val="00BE122F"/>
    <w:rsid w:val="00BF197E"/>
    <w:rsid w:val="00BF6C5C"/>
    <w:rsid w:val="00C0003F"/>
    <w:rsid w:val="00C31066"/>
    <w:rsid w:val="00C3225A"/>
    <w:rsid w:val="00C37DC7"/>
    <w:rsid w:val="00C513D4"/>
    <w:rsid w:val="00C51D98"/>
    <w:rsid w:val="00C641D1"/>
    <w:rsid w:val="00C72B7F"/>
    <w:rsid w:val="00C80443"/>
    <w:rsid w:val="00C91DDE"/>
    <w:rsid w:val="00CA224E"/>
    <w:rsid w:val="00CB29D7"/>
    <w:rsid w:val="00CB51C9"/>
    <w:rsid w:val="00CC25B1"/>
    <w:rsid w:val="00CC35EA"/>
    <w:rsid w:val="00CC5992"/>
    <w:rsid w:val="00CD19D5"/>
    <w:rsid w:val="00CE561B"/>
    <w:rsid w:val="00CE7F25"/>
    <w:rsid w:val="00CF5B1A"/>
    <w:rsid w:val="00D01E09"/>
    <w:rsid w:val="00D02228"/>
    <w:rsid w:val="00D17C0D"/>
    <w:rsid w:val="00D26C2F"/>
    <w:rsid w:val="00D30D06"/>
    <w:rsid w:val="00D30F1F"/>
    <w:rsid w:val="00D31973"/>
    <w:rsid w:val="00D358F0"/>
    <w:rsid w:val="00D47A97"/>
    <w:rsid w:val="00D51CAF"/>
    <w:rsid w:val="00D52224"/>
    <w:rsid w:val="00D55E83"/>
    <w:rsid w:val="00D91CBE"/>
    <w:rsid w:val="00D940FA"/>
    <w:rsid w:val="00DA1309"/>
    <w:rsid w:val="00DB5574"/>
    <w:rsid w:val="00DB6B1A"/>
    <w:rsid w:val="00DC18A7"/>
    <w:rsid w:val="00DC5700"/>
    <w:rsid w:val="00DD1198"/>
    <w:rsid w:val="00DD3921"/>
    <w:rsid w:val="00DE2653"/>
    <w:rsid w:val="00DE3EED"/>
    <w:rsid w:val="00DE51C1"/>
    <w:rsid w:val="00DE67DD"/>
    <w:rsid w:val="00DF1244"/>
    <w:rsid w:val="00DF46D5"/>
    <w:rsid w:val="00DF535F"/>
    <w:rsid w:val="00E004BA"/>
    <w:rsid w:val="00E20BC0"/>
    <w:rsid w:val="00E23497"/>
    <w:rsid w:val="00E27843"/>
    <w:rsid w:val="00E33FEC"/>
    <w:rsid w:val="00E443EF"/>
    <w:rsid w:val="00E548A9"/>
    <w:rsid w:val="00E61995"/>
    <w:rsid w:val="00E73586"/>
    <w:rsid w:val="00E81C16"/>
    <w:rsid w:val="00E83D4F"/>
    <w:rsid w:val="00EB1EC2"/>
    <w:rsid w:val="00EB2761"/>
    <w:rsid w:val="00EB3B2C"/>
    <w:rsid w:val="00EE09C2"/>
    <w:rsid w:val="00EE128B"/>
    <w:rsid w:val="00F04523"/>
    <w:rsid w:val="00F07077"/>
    <w:rsid w:val="00F10429"/>
    <w:rsid w:val="00F1182B"/>
    <w:rsid w:val="00F12489"/>
    <w:rsid w:val="00F24B50"/>
    <w:rsid w:val="00F255A0"/>
    <w:rsid w:val="00F263B2"/>
    <w:rsid w:val="00F32291"/>
    <w:rsid w:val="00F330D2"/>
    <w:rsid w:val="00F33550"/>
    <w:rsid w:val="00F5124C"/>
    <w:rsid w:val="00F512BE"/>
    <w:rsid w:val="00F63AB7"/>
    <w:rsid w:val="00F65A79"/>
    <w:rsid w:val="00F70D1A"/>
    <w:rsid w:val="00F71E73"/>
    <w:rsid w:val="00F841C0"/>
    <w:rsid w:val="00F858CD"/>
    <w:rsid w:val="00F95429"/>
    <w:rsid w:val="00FB2EAE"/>
    <w:rsid w:val="00FB3378"/>
    <w:rsid w:val="00FB4EAF"/>
    <w:rsid w:val="00FC20C9"/>
    <w:rsid w:val="00FC5C6D"/>
    <w:rsid w:val="00FD6B0D"/>
    <w:rsid w:val="00FD6B30"/>
    <w:rsid w:val="00FE4FF7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2266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26</cp:revision>
  <cp:lastPrinted>2021-11-03T14:08:00Z</cp:lastPrinted>
  <dcterms:created xsi:type="dcterms:W3CDTF">2021-12-01T17:05:00Z</dcterms:created>
  <dcterms:modified xsi:type="dcterms:W3CDTF">2021-12-01T18:35:00Z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