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43DE8C8A" w:rsidR="00961925" w:rsidRPr="00741C5E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2611A9" w:rsidRPr="00741C5E">
        <w:rPr>
          <w:rFonts w:ascii="Cambria" w:hAnsi="Cambria"/>
          <w:b/>
          <w:color w:val="000000"/>
          <w:szCs w:val="24"/>
        </w:rPr>
        <w:t>101/2021</w:t>
      </w:r>
    </w:p>
    <w:p w14:paraId="46DB31F4" w14:textId="417A1479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PREGÃO PRESENCIAL Nº </w:t>
      </w:r>
      <w:r w:rsidR="002611A9" w:rsidRPr="00741C5E">
        <w:rPr>
          <w:rFonts w:ascii="Cambria" w:hAnsi="Cambria"/>
          <w:b/>
          <w:color w:val="000000"/>
          <w:szCs w:val="24"/>
        </w:rPr>
        <w:t>052/2021</w:t>
      </w:r>
    </w:p>
    <w:p w14:paraId="46DB31F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741C5E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40CFEDE9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ATA DE REGISTRO DE PREÇOS Nº </w:t>
      </w:r>
      <w:r w:rsidR="00F15D40" w:rsidRPr="00741C5E">
        <w:rPr>
          <w:rFonts w:ascii="Cambria" w:hAnsi="Cambria"/>
          <w:color w:val="000000"/>
          <w:szCs w:val="24"/>
        </w:rPr>
        <w:t>042</w:t>
      </w:r>
      <w:r w:rsidR="00D85C00" w:rsidRPr="00741C5E">
        <w:rPr>
          <w:rFonts w:ascii="Cambria" w:hAnsi="Cambria"/>
          <w:color w:val="000000"/>
          <w:szCs w:val="24"/>
        </w:rPr>
        <w:t>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B" w14:textId="05ED1408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C" w14:textId="78BC1912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PROCESSO Nº </w:t>
      </w:r>
      <w:r w:rsidR="002611A9" w:rsidRPr="00741C5E">
        <w:rPr>
          <w:rFonts w:ascii="Cambria" w:hAnsi="Cambria"/>
          <w:color w:val="000000"/>
          <w:szCs w:val="24"/>
        </w:rPr>
        <w:t>101/2021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741C5E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3089E243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Aos</w:t>
      </w:r>
      <w:r w:rsidR="005C71AC" w:rsidRPr="00741C5E">
        <w:rPr>
          <w:rFonts w:ascii="Cambria" w:hAnsi="Cambria" w:cs="Arial"/>
          <w:color w:val="000000"/>
        </w:rPr>
        <w:t xml:space="preserve"> 13 (treze) </w:t>
      </w:r>
      <w:r w:rsidRPr="00741C5E">
        <w:rPr>
          <w:rFonts w:ascii="Cambria" w:hAnsi="Cambria" w:cs="Arial"/>
          <w:color w:val="000000"/>
        </w:rPr>
        <w:t>dias do mês de</w:t>
      </w:r>
      <w:r w:rsidR="005C71AC" w:rsidRPr="00741C5E">
        <w:rPr>
          <w:rFonts w:ascii="Cambria" w:hAnsi="Cambria" w:cs="Arial"/>
          <w:color w:val="000000"/>
        </w:rPr>
        <w:t xml:space="preserve"> setembro </w:t>
      </w:r>
      <w:r w:rsidRPr="00741C5E">
        <w:rPr>
          <w:rFonts w:ascii="Cambria" w:hAnsi="Cambria" w:cs="Arial"/>
          <w:color w:val="000000"/>
        </w:rPr>
        <w:t xml:space="preserve">de </w:t>
      </w:r>
      <w:r w:rsidR="00D85C00" w:rsidRPr="00741C5E">
        <w:rPr>
          <w:rFonts w:ascii="Cambria" w:hAnsi="Cambria" w:cs="Arial"/>
          <w:color w:val="000000"/>
        </w:rPr>
        <w:t>2021</w:t>
      </w:r>
      <w:r w:rsidRPr="00741C5E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D408B3" w:rsidRPr="00741C5E">
        <w:rPr>
          <w:rFonts w:ascii="Cambria" w:hAnsi="Cambria" w:cs="Arial"/>
          <w:color w:val="000000"/>
        </w:rPr>
        <w:t xml:space="preserve">Avenida Francisco </w:t>
      </w:r>
      <w:r w:rsidRPr="00741C5E">
        <w:rPr>
          <w:rFonts w:ascii="Cambria" w:hAnsi="Cambria" w:cs="Arial"/>
          <w:color w:val="000000"/>
        </w:rPr>
        <w:t xml:space="preserve">, o Exmo. Sr. Prefeito Municipal, Sr. </w:t>
      </w:r>
      <w:r w:rsidR="00D408B3" w:rsidRPr="00741C5E">
        <w:rPr>
          <w:rFonts w:ascii="Cambria" w:hAnsi="Cambria" w:cs="Arial"/>
          <w:color w:val="000000"/>
        </w:rPr>
        <w:t xml:space="preserve">Mario Reis </w:t>
      </w:r>
      <w:proofErr w:type="spellStart"/>
      <w:r w:rsidR="00D408B3" w:rsidRPr="00741C5E">
        <w:rPr>
          <w:rFonts w:ascii="Cambria" w:hAnsi="Cambria" w:cs="Arial"/>
          <w:color w:val="000000"/>
        </w:rPr>
        <w:t>Filgueiras</w:t>
      </w:r>
      <w:proofErr w:type="spellEnd"/>
      <w:r w:rsidRPr="00741C5E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2611A9" w:rsidRPr="00741C5E">
        <w:rPr>
          <w:rFonts w:ascii="Cambria" w:hAnsi="Cambria" w:cs="Arial"/>
          <w:color w:val="000000"/>
        </w:rPr>
        <w:t>052/2021</w:t>
      </w:r>
      <w:r w:rsidRPr="00741C5E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2611A9" w:rsidRPr="00741C5E">
        <w:rPr>
          <w:rFonts w:ascii="Cambria" w:hAnsi="Cambria" w:cs="Arial"/>
          <w:color w:val="000000"/>
        </w:rPr>
        <w:t>101/2021</w:t>
      </w:r>
      <w:r w:rsidRPr="00741C5E">
        <w:rPr>
          <w:rFonts w:ascii="Cambria" w:hAnsi="Cambria" w:cs="Arial"/>
          <w:color w:val="000000"/>
        </w:rPr>
        <w:t xml:space="preserve"> RESOLVE registrar os preços para os fornecimentos constantes nos ane</w:t>
      </w:r>
      <w:r w:rsidR="00EF36F7">
        <w:rPr>
          <w:rFonts w:ascii="Cambria" w:hAnsi="Cambria" w:cs="Arial"/>
          <w:color w:val="000000"/>
        </w:rPr>
        <w:t xml:space="preserve">xos desta ata, beneficiário </w:t>
      </w:r>
      <w:r w:rsidR="00EF36F7" w:rsidRPr="003D5742">
        <w:rPr>
          <w:rFonts w:ascii="Cambria" w:hAnsi="Cambria" w:cs="Arial"/>
          <w:b/>
          <w:bCs/>
          <w:color w:val="000000"/>
        </w:rPr>
        <w:t>EUROTECH TECNOLOGIA LTDA</w:t>
      </w:r>
      <w:r w:rsidRPr="00741C5E">
        <w:rPr>
          <w:rFonts w:ascii="Cambria" w:hAnsi="Cambria" w:cs="Arial"/>
          <w:color w:val="000000"/>
        </w:rPr>
        <w:t>, local</w:t>
      </w:r>
      <w:r w:rsidR="00EF36F7">
        <w:rPr>
          <w:rFonts w:ascii="Cambria" w:hAnsi="Cambria" w:cs="Arial"/>
          <w:color w:val="000000"/>
        </w:rPr>
        <w:t>izado na Avenida Seiscentos, S/N, Quadra 10, Módulo 01A, Galpão Azul, Sala 117, no Terminal Intermodal da Serra, na cidade de Serra, estado do Espírito Santo</w:t>
      </w:r>
      <w:r w:rsidRPr="00741C5E">
        <w:rPr>
          <w:rFonts w:ascii="Cambria" w:hAnsi="Cambria" w:cs="Arial"/>
          <w:color w:val="000000"/>
        </w:rPr>
        <w:t>,</w:t>
      </w:r>
      <w:r w:rsidR="00EF36F7">
        <w:rPr>
          <w:rFonts w:ascii="Cambria" w:hAnsi="Cambria" w:cs="Arial"/>
          <w:color w:val="000000"/>
        </w:rPr>
        <w:t xml:space="preserve"> CEP 29.161.399,</w:t>
      </w:r>
      <w:r w:rsidRPr="00741C5E">
        <w:rPr>
          <w:rFonts w:ascii="Cambria" w:hAnsi="Cambria" w:cs="Arial"/>
          <w:color w:val="000000"/>
        </w:rPr>
        <w:t xml:space="preserve"> cujo </w:t>
      </w:r>
      <w:r w:rsidR="00EF36F7">
        <w:rPr>
          <w:rFonts w:ascii="Cambria" w:hAnsi="Cambria" w:cs="Arial"/>
          <w:color w:val="000000"/>
        </w:rPr>
        <w:t xml:space="preserve">CNPJ é 39.496.569/0002-06, neste ato representado por </w:t>
      </w:r>
      <w:proofErr w:type="spellStart"/>
      <w:r w:rsidR="00EF36F7">
        <w:rPr>
          <w:rFonts w:ascii="Cambria" w:hAnsi="Cambria" w:cs="Arial"/>
          <w:color w:val="000000"/>
        </w:rPr>
        <w:t>Euromar</w:t>
      </w:r>
      <w:proofErr w:type="spellEnd"/>
      <w:r w:rsidR="00EF36F7">
        <w:rPr>
          <w:rFonts w:ascii="Cambria" w:hAnsi="Cambria" w:cs="Arial"/>
          <w:color w:val="000000"/>
        </w:rPr>
        <w:t xml:space="preserve"> São José</w:t>
      </w:r>
      <w:r w:rsidRPr="00741C5E">
        <w:rPr>
          <w:rFonts w:ascii="Cambria" w:hAnsi="Cambria" w:cs="Arial"/>
          <w:color w:val="000000"/>
        </w:rPr>
        <w:t xml:space="preserve">, </w:t>
      </w:r>
      <w:r w:rsidR="00EF36F7">
        <w:rPr>
          <w:rFonts w:ascii="Cambria" w:hAnsi="Cambria" w:cs="Arial"/>
          <w:color w:val="000000"/>
        </w:rPr>
        <w:t>inscrito no CPF</w:t>
      </w:r>
      <w:r w:rsidR="003D5742">
        <w:rPr>
          <w:rFonts w:ascii="Cambria" w:hAnsi="Cambria" w:cs="Arial"/>
          <w:color w:val="000000"/>
        </w:rPr>
        <w:t>/MF sob o nº.</w:t>
      </w:r>
      <w:r w:rsidR="00EF36F7">
        <w:rPr>
          <w:rFonts w:ascii="Cambria" w:hAnsi="Cambria" w:cs="Arial"/>
          <w:color w:val="000000"/>
        </w:rPr>
        <w:t xml:space="preserve"> 739.606.086-91, </w:t>
      </w:r>
      <w:r w:rsidRPr="00741C5E">
        <w:rPr>
          <w:rFonts w:ascii="Cambria" w:hAnsi="Cambria" w:cs="Arial"/>
          <w:color w:val="000000"/>
        </w:rPr>
        <w:t>conforme quadro abaixo:</w:t>
      </w:r>
    </w:p>
    <w:p w14:paraId="46DB3202" w14:textId="77777777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555"/>
        <w:gridCol w:w="997"/>
        <w:gridCol w:w="937"/>
        <w:gridCol w:w="1146"/>
        <w:gridCol w:w="10"/>
        <w:gridCol w:w="883"/>
        <w:gridCol w:w="1134"/>
        <w:gridCol w:w="993"/>
        <w:gridCol w:w="1134"/>
      </w:tblGrid>
      <w:tr w:rsidR="00CD7AA2" w:rsidRPr="00CD7AA2" w14:paraId="08405D75" w14:textId="77777777" w:rsidTr="00516F05">
        <w:trPr>
          <w:trHeight w:val="2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66D1795A" w14:textId="77777777" w:rsidR="00CD7AA2" w:rsidRPr="00A7594B" w:rsidRDefault="00CD7AA2" w:rsidP="00A7594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0D296384" w14:textId="77777777" w:rsidR="00CD7AA2" w:rsidRPr="00A7594B" w:rsidRDefault="00CD7AA2" w:rsidP="00A7594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234" w:type="dxa"/>
            <w:gridSpan w:val="8"/>
            <w:shd w:val="clear" w:color="auto" w:fill="auto"/>
            <w:vAlign w:val="center"/>
            <w:hideMark/>
          </w:tcPr>
          <w:p w14:paraId="07DB6F10" w14:textId="77777777" w:rsidR="00CD7AA2" w:rsidRPr="00A7594B" w:rsidRDefault="00CD7AA2" w:rsidP="00A7594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CD7AA2" w:rsidRPr="00CD7AA2" w14:paraId="5A7F2AC0" w14:textId="77777777" w:rsidTr="00516F05">
        <w:trPr>
          <w:trHeight w:val="20"/>
        </w:trPr>
        <w:tc>
          <w:tcPr>
            <w:tcW w:w="704" w:type="dxa"/>
            <w:vMerge/>
            <w:vAlign w:val="center"/>
            <w:hideMark/>
          </w:tcPr>
          <w:p w14:paraId="284DFE2A" w14:textId="77777777" w:rsidR="00CD7AA2" w:rsidRPr="00A7594B" w:rsidRDefault="00CD7AA2" w:rsidP="00A7594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31C4EA0" w14:textId="77777777" w:rsidR="00CD7AA2" w:rsidRPr="00A7594B" w:rsidRDefault="00CD7AA2" w:rsidP="00A7594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0" w:type="dxa"/>
            <w:gridSpan w:val="4"/>
            <w:shd w:val="clear" w:color="000000" w:fill="BFBFBF"/>
            <w:vAlign w:val="center"/>
            <w:hideMark/>
          </w:tcPr>
          <w:p w14:paraId="000120E7" w14:textId="77777777" w:rsidR="00CD7AA2" w:rsidRPr="00A7594B" w:rsidRDefault="00CD7AA2" w:rsidP="00A7594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17" w:type="dxa"/>
            <w:gridSpan w:val="2"/>
            <w:shd w:val="clear" w:color="000000" w:fill="BFBFBF"/>
            <w:vAlign w:val="center"/>
            <w:hideMark/>
          </w:tcPr>
          <w:p w14:paraId="4657EA0D" w14:textId="77777777" w:rsidR="00CD7AA2" w:rsidRPr="00A7594B" w:rsidRDefault="00CD7AA2" w:rsidP="00A7594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127" w:type="dxa"/>
            <w:gridSpan w:val="2"/>
            <w:shd w:val="clear" w:color="000000" w:fill="BFBFBF"/>
            <w:vAlign w:val="center"/>
            <w:hideMark/>
          </w:tcPr>
          <w:p w14:paraId="35BACE0A" w14:textId="77777777" w:rsidR="00CD7AA2" w:rsidRPr="00A7594B" w:rsidRDefault="00CD7AA2" w:rsidP="00A7594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CD7AA2" w:rsidRPr="00CD7AA2" w14:paraId="018DBA25" w14:textId="77777777" w:rsidTr="00516F05">
        <w:trPr>
          <w:trHeight w:val="276"/>
        </w:trPr>
        <w:tc>
          <w:tcPr>
            <w:tcW w:w="704" w:type="dxa"/>
            <w:vMerge/>
            <w:vAlign w:val="center"/>
            <w:hideMark/>
          </w:tcPr>
          <w:p w14:paraId="5B97EEC6" w14:textId="77777777" w:rsidR="00CD7AA2" w:rsidRPr="00A7594B" w:rsidRDefault="00CD7AA2" w:rsidP="00A7594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6EB018C3" w14:textId="77777777" w:rsidR="00CD7AA2" w:rsidRPr="00A7594B" w:rsidRDefault="00CD7AA2" w:rsidP="00A7594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shd w:val="clear" w:color="000000" w:fill="D9D9D9"/>
            <w:vAlign w:val="center"/>
            <w:hideMark/>
          </w:tcPr>
          <w:p w14:paraId="74B2F430" w14:textId="77777777" w:rsidR="00CD7AA2" w:rsidRPr="00A7594B" w:rsidRDefault="00CD7AA2" w:rsidP="00A7594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37" w:type="dxa"/>
            <w:vMerge w:val="restart"/>
            <w:shd w:val="clear" w:color="000000" w:fill="D9D9D9"/>
            <w:vAlign w:val="center"/>
            <w:hideMark/>
          </w:tcPr>
          <w:p w14:paraId="104EBF50" w14:textId="77777777" w:rsidR="00CD7AA2" w:rsidRPr="00A7594B" w:rsidRDefault="00CD7AA2" w:rsidP="00A7594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46" w:type="dxa"/>
            <w:vMerge w:val="restart"/>
            <w:shd w:val="clear" w:color="000000" w:fill="D9D9D9"/>
            <w:vAlign w:val="center"/>
            <w:hideMark/>
          </w:tcPr>
          <w:p w14:paraId="380E2CDD" w14:textId="77777777" w:rsidR="00CD7AA2" w:rsidRPr="00A7594B" w:rsidRDefault="00CD7AA2" w:rsidP="00A7594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93" w:type="dxa"/>
            <w:gridSpan w:val="2"/>
            <w:vMerge w:val="restart"/>
            <w:shd w:val="clear" w:color="000000" w:fill="D9D9D9"/>
            <w:vAlign w:val="center"/>
            <w:hideMark/>
          </w:tcPr>
          <w:p w14:paraId="12DBFB18" w14:textId="77777777" w:rsidR="00CD7AA2" w:rsidRPr="00A7594B" w:rsidRDefault="00CD7AA2" w:rsidP="00A7594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34" w:type="dxa"/>
            <w:vMerge w:val="restart"/>
            <w:shd w:val="clear" w:color="000000" w:fill="D9D9D9"/>
            <w:vAlign w:val="center"/>
            <w:hideMark/>
          </w:tcPr>
          <w:p w14:paraId="1C3C9546" w14:textId="77777777" w:rsidR="00CD7AA2" w:rsidRPr="00A7594B" w:rsidRDefault="00CD7AA2" w:rsidP="00A7594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93" w:type="dxa"/>
            <w:vMerge w:val="restart"/>
            <w:shd w:val="clear" w:color="000000" w:fill="D9D9D9"/>
            <w:vAlign w:val="center"/>
            <w:hideMark/>
          </w:tcPr>
          <w:p w14:paraId="5B3751D4" w14:textId="77777777" w:rsidR="00CD7AA2" w:rsidRPr="00A7594B" w:rsidRDefault="00CD7AA2" w:rsidP="00A7594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34" w:type="dxa"/>
            <w:vMerge w:val="restart"/>
            <w:shd w:val="clear" w:color="000000" w:fill="D9D9D9"/>
            <w:vAlign w:val="center"/>
            <w:hideMark/>
          </w:tcPr>
          <w:p w14:paraId="744B2314" w14:textId="77777777" w:rsidR="00CD7AA2" w:rsidRPr="00A7594B" w:rsidRDefault="00CD7AA2" w:rsidP="00A7594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CD7AA2" w:rsidRPr="00CD7AA2" w14:paraId="21944E94" w14:textId="77777777" w:rsidTr="00516F05">
        <w:trPr>
          <w:trHeight w:val="276"/>
        </w:trPr>
        <w:tc>
          <w:tcPr>
            <w:tcW w:w="704" w:type="dxa"/>
            <w:vMerge/>
            <w:vAlign w:val="center"/>
            <w:hideMark/>
          </w:tcPr>
          <w:p w14:paraId="352AC4EE" w14:textId="77777777" w:rsidR="00CD7AA2" w:rsidRPr="00A7594B" w:rsidRDefault="00CD7AA2" w:rsidP="00A7594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44D1ADBC" w14:textId="77777777" w:rsidR="00CD7AA2" w:rsidRPr="00A7594B" w:rsidRDefault="00CD7AA2" w:rsidP="00A7594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3B02F162" w14:textId="77777777" w:rsidR="00CD7AA2" w:rsidRPr="00A7594B" w:rsidRDefault="00CD7AA2" w:rsidP="00A7594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14:paraId="7AF303EE" w14:textId="77777777" w:rsidR="00CD7AA2" w:rsidRPr="00A7594B" w:rsidRDefault="00CD7AA2" w:rsidP="00A7594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vAlign w:val="center"/>
            <w:hideMark/>
          </w:tcPr>
          <w:p w14:paraId="57EABEAA" w14:textId="77777777" w:rsidR="00CD7AA2" w:rsidRPr="00A7594B" w:rsidRDefault="00CD7AA2" w:rsidP="00A7594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vMerge/>
            <w:vAlign w:val="center"/>
            <w:hideMark/>
          </w:tcPr>
          <w:p w14:paraId="63A16DAD" w14:textId="77777777" w:rsidR="00CD7AA2" w:rsidRPr="00A7594B" w:rsidRDefault="00CD7AA2" w:rsidP="00A7594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2F97198" w14:textId="77777777" w:rsidR="00CD7AA2" w:rsidRPr="00A7594B" w:rsidRDefault="00CD7AA2" w:rsidP="00A7594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687B5B3" w14:textId="77777777" w:rsidR="00CD7AA2" w:rsidRPr="00A7594B" w:rsidRDefault="00CD7AA2" w:rsidP="00A7594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F5279EE" w14:textId="77777777" w:rsidR="00CD7AA2" w:rsidRPr="00A7594B" w:rsidRDefault="00CD7AA2" w:rsidP="00A7594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CD7AA2" w:rsidRPr="00CD7AA2" w14:paraId="7A239BE4" w14:textId="77777777" w:rsidTr="00516F05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51974195" w14:textId="77777777" w:rsidR="00CD7AA2" w:rsidRPr="00A7594B" w:rsidRDefault="00CD7AA2" w:rsidP="00A7594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32BBC559" w14:textId="77777777" w:rsidR="00CD7AA2" w:rsidRPr="00A7594B" w:rsidRDefault="00CD7AA2" w:rsidP="00A7594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TABLET CARACTERÍSTICAS: CAPACIDADE 16 GB TAMANHO DA TELA MÍNIMO  10,1” COM CONECTIVIDADE CELULAR SIM 3G; MEMÓRIA RAM 1GB; NOME DO SISTEMA OPERACIONAL: ANDROID; CONECTIVIDADE: </w:t>
            </w:r>
            <w:proofErr w:type="gramStart"/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BLUETOOTH,MICRO</w:t>
            </w:r>
            <w:proofErr w:type="gramEnd"/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USB, WIFI; PROCESSADOR QUAD-CORE VELOCIDADE DO PROCESSADOR: 1,3 GHZ; QUANTIDADE DE NÚCLEOS: 4; CAPACIDADE DA BATERIA:5000 MAH; SENSORES; </w:t>
            </w:r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ACELEROMETRO; CAPACIDADE MÁXIMA DE MEMÓRIA SUPORTADA: 64 GB TIPO DE LEITOR DE CARTÃO DE MEMÓRIA: SD. RESOLUÇÃO DA CÂMERA FRONTAL: 0,3 MP (AUTOFOCUS)/CÂMERA TRASEIRA 2MP (AUTOFOCUS); RESOLUÇÃO DE TELA MÁXIMA 1280X 800 IPS; É MULTI-TOUCH: SIM; COM SAÍDA PARA FONES DE OUVIDO: SIM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688EC776" w14:textId="77777777" w:rsidR="00CD7AA2" w:rsidRPr="00A7594B" w:rsidRDefault="00CD7AA2" w:rsidP="00CD7AA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2000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886FBCB" w14:textId="66C9B240" w:rsidR="00CD7AA2" w:rsidRPr="00A7594B" w:rsidRDefault="00CD7AA2" w:rsidP="00CD7AA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789,00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14:paraId="7D76733C" w14:textId="3228AE81" w:rsidR="00CD7AA2" w:rsidRPr="00A7594B" w:rsidRDefault="00CD7AA2" w:rsidP="00CD7AA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1.578.000,00</w:t>
            </w:r>
          </w:p>
        </w:tc>
        <w:tc>
          <w:tcPr>
            <w:tcW w:w="893" w:type="dxa"/>
            <w:gridSpan w:val="2"/>
            <w:shd w:val="clear" w:color="000000" w:fill="FFFFFF"/>
            <w:vAlign w:val="center"/>
            <w:hideMark/>
          </w:tcPr>
          <w:p w14:paraId="442FB27E" w14:textId="77777777" w:rsidR="00CD7AA2" w:rsidRPr="00A7594B" w:rsidRDefault="00CD7AA2" w:rsidP="00CD7AA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DF629D" w14:textId="74A3B225" w:rsidR="00CD7AA2" w:rsidRPr="00A7594B" w:rsidRDefault="00CD7AA2" w:rsidP="00CD7AA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1.578.000,00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8D70EE1" w14:textId="77777777" w:rsidR="00CD7AA2" w:rsidRPr="00A7594B" w:rsidRDefault="00CD7AA2" w:rsidP="00CD7AA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62B2AB" w14:textId="6B1F132C" w:rsidR="00CD7AA2" w:rsidRPr="00A7594B" w:rsidRDefault="00CD7AA2" w:rsidP="00CD7AA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7594B">
              <w:rPr>
                <w:rFonts w:ascii="Cambria" w:hAnsi="Cambria" w:cs="Calibri"/>
                <w:color w:val="000000"/>
                <w:sz w:val="16"/>
                <w:szCs w:val="16"/>
              </w:rPr>
              <w:t>7.890.000,00</w:t>
            </w:r>
          </w:p>
        </w:tc>
      </w:tr>
    </w:tbl>
    <w:p w14:paraId="46DB3225" w14:textId="77777777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01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741C5E">
        <w:rPr>
          <w:rFonts w:ascii="Cambria" w:hAnsi="Cambria"/>
          <w:color w:val="000000"/>
        </w:rPr>
        <w:t xml:space="preserve">I </w:t>
      </w:r>
      <w:r w:rsidRPr="00741C5E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741C5E">
        <w:rPr>
          <w:rFonts w:ascii="Cambria" w:hAnsi="Cambria"/>
          <w:color w:val="000000"/>
        </w:rPr>
        <w:t>do quadro acima</w:t>
      </w:r>
      <w:r w:rsidRPr="00741C5E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741C5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02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741C5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741C5E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03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741C5E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04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25B79A2C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741C5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5F029F31" w:rsidR="00961925" w:rsidRPr="00741C5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741C5E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1C77AF21" w:rsidR="00961925" w:rsidRPr="00741C5E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741C5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741C5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05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46DB3241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741C5E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06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741C5E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  <w:r w:rsidRPr="00741C5E">
        <w:rPr>
          <w:rFonts w:ascii="Cambria" w:hAnsi="Cambria"/>
          <w:szCs w:val="24"/>
        </w:rPr>
        <w:t xml:space="preserve">I </w:t>
      </w:r>
      <w:r w:rsidRPr="00741C5E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41C5E">
        <w:rPr>
          <w:rFonts w:ascii="Cambria" w:hAnsi="Cambria"/>
          <w:bCs/>
          <w:szCs w:val="24"/>
        </w:rPr>
        <w:t xml:space="preserve">em até 30 (trinta) dias após recebimento </w:t>
      </w:r>
      <w:r w:rsidRPr="00741C5E">
        <w:rPr>
          <w:rFonts w:ascii="Cambria" w:hAnsi="Cambria"/>
          <w:szCs w:val="24"/>
        </w:rPr>
        <w:t>definitivo pela unidade requisitante</w:t>
      </w:r>
      <w:r w:rsidRPr="00741C5E">
        <w:rPr>
          <w:rFonts w:ascii="Cambria" w:hAnsi="Cambria"/>
          <w:bCs/>
          <w:szCs w:val="24"/>
        </w:rPr>
        <w:t xml:space="preserve"> do objeto, </w:t>
      </w:r>
      <w:r w:rsidRPr="00741C5E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  <w:r w:rsidRPr="00741C5E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41C5E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41C5E">
        <w:rPr>
          <w:rFonts w:ascii="Cambria" w:hAnsi="Cambria" w:cs="Arial"/>
          <w:b/>
          <w:bCs/>
        </w:rPr>
        <w:t>onde:</w:t>
      </w:r>
    </w:p>
    <w:p w14:paraId="46DB324C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EM =</w:t>
      </w:r>
      <w:r w:rsidRPr="00741C5E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VP =</w:t>
      </w:r>
      <w:r w:rsidRPr="00741C5E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N =</w:t>
      </w:r>
      <w:r w:rsidRPr="00741C5E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I =</w:t>
      </w:r>
      <w:r w:rsidRPr="00741C5E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41C5E" w:rsidRDefault="00094E69" w:rsidP="00094E69">
      <w:pPr>
        <w:pStyle w:val="Standard"/>
        <w:jc w:val="center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I = (</w:t>
      </w:r>
      <w:r w:rsidRPr="00741C5E">
        <w:rPr>
          <w:rFonts w:ascii="Cambria" w:hAnsi="Cambria" w:cs="Arial"/>
          <w:b/>
          <w:bCs/>
          <w:u w:val="single"/>
        </w:rPr>
        <w:t>TX / 100</w:t>
      </w:r>
      <w:r w:rsidRPr="00741C5E">
        <w:rPr>
          <w:rFonts w:ascii="Cambria" w:hAnsi="Cambria" w:cs="Arial"/>
          <w:b/>
          <w:bCs/>
        </w:rPr>
        <w:t>)</w:t>
      </w:r>
    </w:p>
    <w:p w14:paraId="46DB3252" w14:textId="77777777" w:rsidR="00094E69" w:rsidRPr="00741C5E" w:rsidRDefault="00094E69" w:rsidP="00094E69">
      <w:pPr>
        <w:pStyle w:val="Standard"/>
        <w:jc w:val="center"/>
        <w:rPr>
          <w:rFonts w:ascii="Cambria" w:hAnsi="Cambria"/>
        </w:rPr>
      </w:pPr>
      <w:r w:rsidRPr="00741C5E">
        <w:rPr>
          <w:rFonts w:ascii="Cambria" w:eastAsia="Arial" w:hAnsi="Cambria" w:cs="Arial"/>
          <w:b/>
          <w:bCs/>
        </w:rPr>
        <w:t xml:space="preserve">    </w:t>
      </w:r>
      <w:r w:rsidRPr="00741C5E">
        <w:rPr>
          <w:rFonts w:ascii="Cambria" w:hAnsi="Cambria" w:cs="Arial"/>
          <w:b/>
          <w:bCs/>
        </w:rPr>
        <w:t>30</w:t>
      </w:r>
    </w:p>
    <w:p w14:paraId="46DB3253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  <w:r w:rsidRPr="00741C5E">
        <w:rPr>
          <w:rFonts w:ascii="Cambria" w:hAnsi="Cambria" w:cs="Arial"/>
          <w:b/>
          <w:bCs/>
        </w:rPr>
        <w:t xml:space="preserve">TX = </w:t>
      </w:r>
      <w:r w:rsidRPr="00741C5E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741C5E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lastRenderedPageBreak/>
        <w:t xml:space="preserve">07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741C5E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IV </w:t>
      </w:r>
      <w:r w:rsidRPr="00741C5E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46DB325F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 </w:t>
      </w:r>
      <w:r w:rsidRPr="00741C5E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VI </w:t>
      </w:r>
      <w:r w:rsidRPr="00741C5E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VII </w:t>
      </w:r>
      <w:r w:rsidRPr="00741C5E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46DB326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741C5E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08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741C5E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741C5E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- Em caso de inexecução parcial ou total das condições fixadas no contrato, erros ou atrasos no cumprimento do contrato, infringência do art. 71 da Lei Federal </w:t>
      </w:r>
      <w:r w:rsidRPr="00741C5E">
        <w:rPr>
          <w:rFonts w:ascii="Cambria" w:hAnsi="Cambria"/>
          <w:color w:val="000000"/>
          <w:szCs w:val="24"/>
        </w:rPr>
        <w:lastRenderedPageBreak/>
        <w:t>8.666/93 e quaisquer outras irregularidades, a Administração poderá, garantida a prévia defesa, aplicar ao contratado as seguintes sanções:</w:t>
      </w:r>
    </w:p>
    <w:p w14:paraId="46DB326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741C5E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741C5E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741C5E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741C5E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741C5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741C5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- </w:t>
      </w:r>
      <w:r w:rsidRPr="00741C5E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41C5E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741C5E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09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57DA82C4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</w:t>
      </w:r>
      <w:r w:rsidRPr="00741C5E">
        <w:rPr>
          <w:rFonts w:ascii="Cambria" w:hAnsi="Cambria"/>
          <w:color w:val="000000"/>
          <w:szCs w:val="24"/>
        </w:rPr>
        <w:lastRenderedPageBreak/>
        <w:t xml:space="preserve">indicadas no preâmbulo do edital do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46DB3289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10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46DB328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41C5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741C5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11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41C5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741C5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A </w:t>
      </w:r>
      <w:r w:rsidRPr="00741C5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741C5E">
        <w:rPr>
          <w:rFonts w:ascii="Cambria" w:hAnsi="Cambria"/>
          <w:color w:val="000000"/>
          <w:szCs w:val="24"/>
        </w:rPr>
        <w:t>a</w:t>
      </w:r>
      <w:proofErr w:type="spellEnd"/>
      <w:r w:rsidRPr="00741C5E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B </w:t>
      </w:r>
      <w:r w:rsidRPr="00741C5E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C </w:t>
      </w:r>
      <w:r w:rsidRPr="00741C5E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D </w:t>
      </w:r>
      <w:r w:rsidRPr="00741C5E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41C5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741C5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E </w:t>
      </w:r>
      <w:r w:rsidRPr="00741C5E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F </w:t>
      </w:r>
      <w:r w:rsidRPr="00741C5E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741C5E">
        <w:rPr>
          <w:rFonts w:ascii="Cambria" w:hAnsi="Cambria"/>
          <w:color w:val="000000"/>
        </w:rPr>
        <w:t xml:space="preserve">G </w:t>
      </w:r>
      <w:r w:rsidRPr="00741C5E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b/>
          <w:color w:val="000000"/>
        </w:rPr>
        <w:t>Pelas detentoras, quando</w:t>
      </w:r>
      <w:r w:rsidRPr="00741C5E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741C5E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A </w:t>
      </w:r>
      <w:r w:rsidRPr="00741C5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741C5E">
        <w:rPr>
          <w:rFonts w:ascii="Cambria" w:hAnsi="Cambria"/>
          <w:color w:val="000000"/>
          <w:szCs w:val="24"/>
        </w:rPr>
        <w:t>a</w:t>
      </w:r>
      <w:proofErr w:type="spellEnd"/>
      <w:r w:rsidRPr="00741C5E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41C5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741C5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12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</w:t>
      </w:r>
      <w:r w:rsidRPr="00741C5E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741C5E">
        <w:rPr>
          <w:rFonts w:ascii="Cambria" w:hAnsi="Cambria"/>
          <w:b/>
          <w:color w:val="000000"/>
          <w:szCs w:val="24"/>
        </w:rPr>
        <w:noBreakHyphen/>
      </w:r>
      <w:r w:rsidRPr="00741C5E">
        <w:rPr>
          <w:rFonts w:ascii="Cambria" w:hAnsi="Cambria"/>
          <w:color w:val="000000"/>
          <w:szCs w:val="24"/>
        </w:rPr>
        <w:t xml:space="preserve"> As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741C5E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078DA85F" w:rsidR="00961925" w:rsidRPr="00741C5E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 xml:space="preserve">I – </w:t>
      </w:r>
      <w:r w:rsidR="00961925" w:rsidRPr="00741C5E">
        <w:rPr>
          <w:rFonts w:ascii="Cambria" w:hAnsi="Cambria" w:cs="Arial"/>
          <w:color w:val="000000"/>
        </w:rPr>
        <w:t xml:space="preserve">Integram esta Ata, o edital do Pregão nº </w:t>
      </w:r>
      <w:r w:rsidR="002611A9" w:rsidRPr="00741C5E">
        <w:rPr>
          <w:rFonts w:ascii="Cambria" w:hAnsi="Cambria" w:cs="Arial"/>
          <w:color w:val="000000"/>
        </w:rPr>
        <w:t>052/2021</w:t>
      </w:r>
      <w:r w:rsidR="00961925" w:rsidRPr="00741C5E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741C5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741C5E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II –</w:t>
      </w:r>
      <w:r w:rsidR="00961925" w:rsidRPr="00741C5E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41C5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741C5E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– </w:t>
      </w:r>
      <w:r w:rsidR="00961925" w:rsidRPr="00741C5E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054B2BF6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Papagaios, </w:t>
      </w:r>
      <w:r w:rsidR="00662B18" w:rsidRPr="00741C5E">
        <w:rPr>
          <w:rFonts w:ascii="Cambria" w:hAnsi="Cambria"/>
          <w:color w:val="000000"/>
          <w:szCs w:val="24"/>
        </w:rPr>
        <w:t>13 de setembro de 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2B8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9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810FE75" w14:textId="77777777" w:rsidR="00FF6327" w:rsidRPr="00FF6327" w:rsidRDefault="00FF6327" w:rsidP="00FF632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FF6327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FF6327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BF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5FFCFA1" w14:textId="4ECCFFE3" w:rsidR="004E56EC" w:rsidRPr="004E56EC" w:rsidRDefault="004E56EC" w:rsidP="00961925">
      <w:pPr>
        <w:pStyle w:val="Corpodetexto"/>
        <w:spacing w:after="0" w:line="200" w:lineRule="atLeast"/>
        <w:jc w:val="center"/>
        <w:rPr>
          <w:rFonts w:ascii="Cambria" w:hAnsi="Cambria" w:cs="Arial"/>
          <w:i/>
          <w:iCs/>
          <w:color w:val="000000"/>
        </w:rPr>
      </w:pPr>
      <w:proofErr w:type="spellStart"/>
      <w:r w:rsidRPr="004E56EC">
        <w:rPr>
          <w:rFonts w:ascii="Cambria" w:hAnsi="Cambria" w:cs="Arial"/>
          <w:b/>
          <w:bCs/>
          <w:i/>
          <w:iCs/>
          <w:color w:val="000000"/>
        </w:rPr>
        <w:t>Eurotech</w:t>
      </w:r>
      <w:proofErr w:type="spellEnd"/>
      <w:r w:rsidRPr="004E56EC">
        <w:rPr>
          <w:rFonts w:ascii="Cambria" w:hAnsi="Cambria" w:cs="Arial"/>
          <w:b/>
          <w:bCs/>
          <w:i/>
          <w:iCs/>
          <w:color w:val="000000"/>
        </w:rPr>
        <w:t xml:space="preserve"> Tecnologia Ltda</w:t>
      </w:r>
    </w:p>
    <w:p w14:paraId="46DB32C3" w14:textId="7125B0C8" w:rsidR="00961925" w:rsidRPr="00741C5E" w:rsidRDefault="004E56EC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</w:t>
      </w:r>
      <w:r>
        <w:rPr>
          <w:rFonts w:ascii="Cambria" w:hAnsi="Cambria" w:cs="Arial"/>
          <w:color w:val="000000"/>
        </w:rPr>
        <w:t xml:space="preserve">/MF </w:t>
      </w:r>
      <w:r>
        <w:rPr>
          <w:rFonts w:ascii="Cambria" w:hAnsi="Cambria" w:cs="Arial"/>
          <w:color w:val="000000"/>
        </w:rPr>
        <w:t>39.496.569/0002-06</w:t>
      </w:r>
    </w:p>
    <w:sectPr w:rsidR="00961925" w:rsidRPr="00741C5E" w:rsidSect="0024163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D648" w14:textId="77777777" w:rsidR="00AE649C" w:rsidRDefault="00AE649C">
      <w:r>
        <w:separator/>
      </w:r>
    </w:p>
  </w:endnote>
  <w:endnote w:type="continuationSeparator" w:id="0">
    <w:p w14:paraId="7F9036A7" w14:textId="77777777" w:rsidR="00AE649C" w:rsidRDefault="00AE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381D" w14:textId="77777777" w:rsidR="00AE649C" w:rsidRDefault="00AE649C">
      <w:r>
        <w:separator/>
      </w:r>
    </w:p>
  </w:footnote>
  <w:footnote w:type="continuationSeparator" w:id="0">
    <w:p w14:paraId="0EA5A53D" w14:textId="77777777" w:rsidR="00AE649C" w:rsidRDefault="00AE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9B"/>
    <w:rsid w:val="0005728F"/>
    <w:rsid w:val="000575AB"/>
    <w:rsid w:val="0006281E"/>
    <w:rsid w:val="00071E54"/>
    <w:rsid w:val="000770C1"/>
    <w:rsid w:val="00083DD1"/>
    <w:rsid w:val="0008701C"/>
    <w:rsid w:val="00094E69"/>
    <w:rsid w:val="00095633"/>
    <w:rsid w:val="000D2FA6"/>
    <w:rsid w:val="000E427B"/>
    <w:rsid w:val="000E479B"/>
    <w:rsid w:val="000F2501"/>
    <w:rsid w:val="0010144B"/>
    <w:rsid w:val="001034BE"/>
    <w:rsid w:val="00103B81"/>
    <w:rsid w:val="00130BAE"/>
    <w:rsid w:val="00153F29"/>
    <w:rsid w:val="00173E14"/>
    <w:rsid w:val="00177C07"/>
    <w:rsid w:val="00181C40"/>
    <w:rsid w:val="001857B1"/>
    <w:rsid w:val="001A15A9"/>
    <w:rsid w:val="001A5F93"/>
    <w:rsid w:val="001B2E39"/>
    <w:rsid w:val="001B5D1E"/>
    <w:rsid w:val="001D46C5"/>
    <w:rsid w:val="00200713"/>
    <w:rsid w:val="00210FD8"/>
    <w:rsid w:val="00212595"/>
    <w:rsid w:val="002325E7"/>
    <w:rsid w:val="00241639"/>
    <w:rsid w:val="00245A59"/>
    <w:rsid w:val="002476CF"/>
    <w:rsid w:val="00247BEF"/>
    <w:rsid w:val="00257D5C"/>
    <w:rsid w:val="002611A9"/>
    <w:rsid w:val="0027092D"/>
    <w:rsid w:val="00273022"/>
    <w:rsid w:val="002770C2"/>
    <w:rsid w:val="002A01B8"/>
    <w:rsid w:val="002B522C"/>
    <w:rsid w:val="002B7728"/>
    <w:rsid w:val="002C36F6"/>
    <w:rsid w:val="002C5D24"/>
    <w:rsid w:val="002D3DAC"/>
    <w:rsid w:val="002D6625"/>
    <w:rsid w:val="002E4F4B"/>
    <w:rsid w:val="00301908"/>
    <w:rsid w:val="00302CA9"/>
    <w:rsid w:val="00305E4E"/>
    <w:rsid w:val="00306696"/>
    <w:rsid w:val="003102B1"/>
    <w:rsid w:val="003103EC"/>
    <w:rsid w:val="003209D5"/>
    <w:rsid w:val="00322931"/>
    <w:rsid w:val="003243CA"/>
    <w:rsid w:val="00345654"/>
    <w:rsid w:val="003457EA"/>
    <w:rsid w:val="00346EE3"/>
    <w:rsid w:val="00357D85"/>
    <w:rsid w:val="00393739"/>
    <w:rsid w:val="0039711B"/>
    <w:rsid w:val="003B0F42"/>
    <w:rsid w:val="003C5BCC"/>
    <w:rsid w:val="003C6857"/>
    <w:rsid w:val="003C72FB"/>
    <w:rsid w:val="003D1005"/>
    <w:rsid w:val="003D5742"/>
    <w:rsid w:val="003E3FEC"/>
    <w:rsid w:val="003F46E8"/>
    <w:rsid w:val="003F55D1"/>
    <w:rsid w:val="004114C2"/>
    <w:rsid w:val="00415136"/>
    <w:rsid w:val="00426C56"/>
    <w:rsid w:val="0043716C"/>
    <w:rsid w:val="00440ABA"/>
    <w:rsid w:val="00447CF8"/>
    <w:rsid w:val="004526D9"/>
    <w:rsid w:val="00453819"/>
    <w:rsid w:val="004539B5"/>
    <w:rsid w:val="0046055F"/>
    <w:rsid w:val="00460ED7"/>
    <w:rsid w:val="004738AF"/>
    <w:rsid w:val="004760B4"/>
    <w:rsid w:val="004868C0"/>
    <w:rsid w:val="00493E29"/>
    <w:rsid w:val="004A01BB"/>
    <w:rsid w:val="004A0C06"/>
    <w:rsid w:val="004B39EA"/>
    <w:rsid w:val="004D5CDA"/>
    <w:rsid w:val="004E220D"/>
    <w:rsid w:val="004E56EC"/>
    <w:rsid w:val="004E6A8A"/>
    <w:rsid w:val="004F10A0"/>
    <w:rsid w:val="004F29E5"/>
    <w:rsid w:val="004F42C4"/>
    <w:rsid w:val="004F7F5C"/>
    <w:rsid w:val="005012C1"/>
    <w:rsid w:val="00504F42"/>
    <w:rsid w:val="005101A8"/>
    <w:rsid w:val="00516F05"/>
    <w:rsid w:val="005403CD"/>
    <w:rsid w:val="00542B7A"/>
    <w:rsid w:val="00547375"/>
    <w:rsid w:val="0054789C"/>
    <w:rsid w:val="00573148"/>
    <w:rsid w:val="0058215C"/>
    <w:rsid w:val="005937A6"/>
    <w:rsid w:val="005A0CC7"/>
    <w:rsid w:val="005A3440"/>
    <w:rsid w:val="005C71AC"/>
    <w:rsid w:val="005E4232"/>
    <w:rsid w:val="005F1399"/>
    <w:rsid w:val="005F7868"/>
    <w:rsid w:val="005F7E83"/>
    <w:rsid w:val="00614469"/>
    <w:rsid w:val="00614622"/>
    <w:rsid w:val="00647358"/>
    <w:rsid w:val="00656F20"/>
    <w:rsid w:val="00662B18"/>
    <w:rsid w:val="0066409A"/>
    <w:rsid w:val="006709C5"/>
    <w:rsid w:val="00676EF3"/>
    <w:rsid w:val="00694DC5"/>
    <w:rsid w:val="0069592C"/>
    <w:rsid w:val="006A06B2"/>
    <w:rsid w:val="006B2D40"/>
    <w:rsid w:val="006C3979"/>
    <w:rsid w:val="006D7103"/>
    <w:rsid w:val="006E3D61"/>
    <w:rsid w:val="006E6F38"/>
    <w:rsid w:val="006E7153"/>
    <w:rsid w:val="006F1733"/>
    <w:rsid w:val="006F2F8D"/>
    <w:rsid w:val="006F7B8E"/>
    <w:rsid w:val="006F7D62"/>
    <w:rsid w:val="00702633"/>
    <w:rsid w:val="007261BE"/>
    <w:rsid w:val="007301AD"/>
    <w:rsid w:val="00741C5E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3B8"/>
    <w:rsid w:val="00796EC9"/>
    <w:rsid w:val="007A3F57"/>
    <w:rsid w:val="007B5DF6"/>
    <w:rsid w:val="007D123F"/>
    <w:rsid w:val="007D35B8"/>
    <w:rsid w:val="007D5A96"/>
    <w:rsid w:val="007E65F8"/>
    <w:rsid w:val="007E7333"/>
    <w:rsid w:val="007F6918"/>
    <w:rsid w:val="008020A0"/>
    <w:rsid w:val="00804E05"/>
    <w:rsid w:val="008105C9"/>
    <w:rsid w:val="00816A61"/>
    <w:rsid w:val="00823D9E"/>
    <w:rsid w:val="00833C99"/>
    <w:rsid w:val="00834448"/>
    <w:rsid w:val="00842B1B"/>
    <w:rsid w:val="00844F2C"/>
    <w:rsid w:val="00853118"/>
    <w:rsid w:val="008537C3"/>
    <w:rsid w:val="00865AE6"/>
    <w:rsid w:val="008712C2"/>
    <w:rsid w:val="008763DC"/>
    <w:rsid w:val="00891BB4"/>
    <w:rsid w:val="008A2782"/>
    <w:rsid w:val="008A3DEC"/>
    <w:rsid w:val="008A4288"/>
    <w:rsid w:val="008A4BCA"/>
    <w:rsid w:val="008D2D20"/>
    <w:rsid w:val="008D6E6C"/>
    <w:rsid w:val="008E594C"/>
    <w:rsid w:val="009345DA"/>
    <w:rsid w:val="00934867"/>
    <w:rsid w:val="009615FB"/>
    <w:rsid w:val="00961925"/>
    <w:rsid w:val="0097686D"/>
    <w:rsid w:val="00980456"/>
    <w:rsid w:val="009A41FA"/>
    <w:rsid w:val="009B1C3D"/>
    <w:rsid w:val="009B782E"/>
    <w:rsid w:val="009C09EF"/>
    <w:rsid w:val="009D0A08"/>
    <w:rsid w:val="009D484C"/>
    <w:rsid w:val="00A15133"/>
    <w:rsid w:val="00A23322"/>
    <w:rsid w:val="00A26A5D"/>
    <w:rsid w:val="00A309C3"/>
    <w:rsid w:val="00A31AC8"/>
    <w:rsid w:val="00A33EC6"/>
    <w:rsid w:val="00A61E0C"/>
    <w:rsid w:val="00A644AA"/>
    <w:rsid w:val="00A64F5E"/>
    <w:rsid w:val="00A71E72"/>
    <w:rsid w:val="00A7594B"/>
    <w:rsid w:val="00A76756"/>
    <w:rsid w:val="00A85A3C"/>
    <w:rsid w:val="00AC0E53"/>
    <w:rsid w:val="00AC65DE"/>
    <w:rsid w:val="00AC7096"/>
    <w:rsid w:val="00AD0F4F"/>
    <w:rsid w:val="00AD2662"/>
    <w:rsid w:val="00AE649C"/>
    <w:rsid w:val="00B00BE4"/>
    <w:rsid w:val="00B0715C"/>
    <w:rsid w:val="00B27EB9"/>
    <w:rsid w:val="00B328B9"/>
    <w:rsid w:val="00B32E89"/>
    <w:rsid w:val="00B33073"/>
    <w:rsid w:val="00B4629E"/>
    <w:rsid w:val="00B500A8"/>
    <w:rsid w:val="00B82B4A"/>
    <w:rsid w:val="00B92C88"/>
    <w:rsid w:val="00B940AC"/>
    <w:rsid w:val="00B971E9"/>
    <w:rsid w:val="00BA129C"/>
    <w:rsid w:val="00BA3FC8"/>
    <w:rsid w:val="00BA623F"/>
    <w:rsid w:val="00BC2106"/>
    <w:rsid w:val="00BC33F0"/>
    <w:rsid w:val="00BD06EE"/>
    <w:rsid w:val="00C275E2"/>
    <w:rsid w:val="00C31066"/>
    <w:rsid w:val="00C37DC7"/>
    <w:rsid w:val="00C513D4"/>
    <w:rsid w:val="00C7580C"/>
    <w:rsid w:val="00C80443"/>
    <w:rsid w:val="00CC02A4"/>
    <w:rsid w:val="00CD19D5"/>
    <w:rsid w:val="00CD7AA2"/>
    <w:rsid w:val="00CE7F25"/>
    <w:rsid w:val="00CF5B1A"/>
    <w:rsid w:val="00D01E09"/>
    <w:rsid w:val="00D17C0D"/>
    <w:rsid w:val="00D31BF6"/>
    <w:rsid w:val="00D358F0"/>
    <w:rsid w:val="00D408B3"/>
    <w:rsid w:val="00D45AE4"/>
    <w:rsid w:val="00D5154D"/>
    <w:rsid w:val="00D55E83"/>
    <w:rsid w:val="00D633A8"/>
    <w:rsid w:val="00D85C00"/>
    <w:rsid w:val="00D92337"/>
    <w:rsid w:val="00DC18A7"/>
    <w:rsid w:val="00DC484A"/>
    <w:rsid w:val="00DE2653"/>
    <w:rsid w:val="00DE3EED"/>
    <w:rsid w:val="00DE67DD"/>
    <w:rsid w:val="00DE7BEE"/>
    <w:rsid w:val="00DF1244"/>
    <w:rsid w:val="00DF46D5"/>
    <w:rsid w:val="00E14E84"/>
    <w:rsid w:val="00E45DB9"/>
    <w:rsid w:val="00E548A9"/>
    <w:rsid w:val="00E74D13"/>
    <w:rsid w:val="00E83D4F"/>
    <w:rsid w:val="00E87081"/>
    <w:rsid w:val="00EB2555"/>
    <w:rsid w:val="00EB2761"/>
    <w:rsid w:val="00EB3B2C"/>
    <w:rsid w:val="00EB5DC7"/>
    <w:rsid w:val="00ED5B36"/>
    <w:rsid w:val="00EE09C2"/>
    <w:rsid w:val="00EE128B"/>
    <w:rsid w:val="00EF36F7"/>
    <w:rsid w:val="00F04523"/>
    <w:rsid w:val="00F07077"/>
    <w:rsid w:val="00F1182B"/>
    <w:rsid w:val="00F14192"/>
    <w:rsid w:val="00F15D40"/>
    <w:rsid w:val="00F24239"/>
    <w:rsid w:val="00F255A0"/>
    <w:rsid w:val="00F263B2"/>
    <w:rsid w:val="00F32291"/>
    <w:rsid w:val="00F330D2"/>
    <w:rsid w:val="00F71E73"/>
    <w:rsid w:val="00F83F8D"/>
    <w:rsid w:val="00F858CD"/>
    <w:rsid w:val="00F97ECB"/>
    <w:rsid w:val="00FA5803"/>
    <w:rsid w:val="00FB262A"/>
    <w:rsid w:val="00FB3378"/>
    <w:rsid w:val="00FB4EAF"/>
    <w:rsid w:val="00FB7541"/>
    <w:rsid w:val="00FC20C9"/>
    <w:rsid w:val="00FD6B30"/>
    <w:rsid w:val="00FE2F33"/>
    <w:rsid w:val="00FE79F1"/>
    <w:rsid w:val="00FF621A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B0AE4C44-5927-4A9F-9A9B-0B5AF3E8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C33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1999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6</cp:revision>
  <cp:lastPrinted>2019-03-15T12:10:00Z</cp:lastPrinted>
  <dcterms:created xsi:type="dcterms:W3CDTF">2021-09-15T16:20:00Z</dcterms:created>
  <dcterms:modified xsi:type="dcterms:W3CDTF">2021-09-15T21:28:00Z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