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013DB47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B5574">
        <w:rPr>
          <w:rFonts w:ascii="Cambria" w:hAnsi="Cambria"/>
          <w:b/>
          <w:color w:val="000000"/>
          <w:szCs w:val="24"/>
        </w:rPr>
        <w:t>058/2021</w:t>
      </w:r>
    </w:p>
    <w:p w14:paraId="26C2C9FC" w14:textId="64613563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DB5574">
        <w:rPr>
          <w:rFonts w:ascii="Cambria" w:hAnsi="Cambria"/>
          <w:b/>
          <w:color w:val="000000"/>
          <w:szCs w:val="24"/>
        </w:rPr>
        <w:t>033/2021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1CE35FB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312A4F">
        <w:rPr>
          <w:rFonts w:ascii="Cambria" w:hAnsi="Cambria"/>
          <w:color w:val="000000"/>
          <w:szCs w:val="24"/>
        </w:rPr>
        <w:t>028</w:t>
      </w:r>
      <w:r w:rsidR="002B773F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395F33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4D7E6924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DB5574">
        <w:rPr>
          <w:rFonts w:ascii="Cambria" w:hAnsi="Cambria"/>
          <w:color w:val="000000"/>
          <w:szCs w:val="24"/>
        </w:rPr>
        <w:t>058/2021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029CDE4F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38644E">
        <w:rPr>
          <w:rFonts w:ascii="Cambria" w:hAnsi="Cambria" w:cs="Arial"/>
          <w:color w:val="000000"/>
        </w:rPr>
        <w:t>14 (quatorze)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38644E">
        <w:rPr>
          <w:rFonts w:ascii="Cambria" w:hAnsi="Cambria" w:cs="Arial"/>
          <w:color w:val="000000"/>
        </w:rPr>
        <w:t xml:space="preserve">julho </w:t>
      </w:r>
      <w:r w:rsidRPr="00500FE5">
        <w:rPr>
          <w:rFonts w:ascii="Cambria" w:hAnsi="Cambria" w:cs="Arial"/>
          <w:color w:val="000000"/>
        </w:rPr>
        <w:t xml:space="preserve">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67B58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467B58">
        <w:rPr>
          <w:rFonts w:ascii="Cambria" w:hAnsi="Cambria" w:cs="Arial"/>
          <w:color w:val="000000"/>
        </w:rPr>
        <w:t xml:space="preserve">Mário Reis </w:t>
      </w:r>
      <w:proofErr w:type="spellStart"/>
      <w:r w:rsidR="00467B58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B5574">
        <w:rPr>
          <w:rFonts w:ascii="Cambria" w:hAnsi="Cambria" w:cs="Arial"/>
          <w:color w:val="000000"/>
        </w:rPr>
        <w:t>033/2021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B5574">
        <w:rPr>
          <w:rFonts w:ascii="Cambria" w:hAnsi="Cambria" w:cs="Arial"/>
          <w:color w:val="000000"/>
        </w:rPr>
        <w:t>058/2021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991B69" w:rsidRPr="00991B69">
        <w:rPr>
          <w:rFonts w:ascii="Cambria" w:hAnsi="Cambria" w:cs="Arial"/>
          <w:b/>
          <w:bCs/>
          <w:color w:val="000000"/>
        </w:rPr>
        <w:t>COMERCIAL SÓ ESPORTES LTDA ME</w:t>
      </w:r>
      <w:r w:rsidR="00991B69">
        <w:rPr>
          <w:rFonts w:ascii="Cambria" w:hAnsi="Cambria" w:cs="Arial"/>
          <w:color w:val="000000"/>
        </w:rPr>
        <w:t xml:space="preserve">, </w:t>
      </w:r>
      <w:r w:rsidRPr="00500FE5">
        <w:rPr>
          <w:rFonts w:ascii="Cambria" w:hAnsi="Cambria" w:cs="Arial"/>
          <w:color w:val="000000"/>
        </w:rPr>
        <w:t xml:space="preserve">localizado na </w:t>
      </w:r>
      <w:r w:rsidR="00991B69">
        <w:rPr>
          <w:rFonts w:ascii="Cambria" w:hAnsi="Cambria" w:cs="Arial"/>
          <w:color w:val="000000"/>
        </w:rPr>
        <w:t xml:space="preserve">Rua </w:t>
      </w:r>
      <w:proofErr w:type="spellStart"/>
      <w:r w:rsidR="00991B69">
        <w:rPr>
          <w:rFonts w:ascii="Cambria" w:hAnsi="Cambria" w:cs="Arial"/>
          <w:color w:val="000000"/>
        </w:rPr>
        <w:t>Lacerdino</w:t>
      </w:r>
      <w:proofErr w:type="spellEnd"/>
      <w:r w:rsidR="00991B69">
        <w:rPr>
          <w:rFonts w:ascii="Cambria" w:hAnsi="Cambria" w:cs="Arial"/>
          <w:color w:val="000000"/>
        </w:rPr>
        <w:t xml:space="preserve"> Rocha, nº. 116, Centro, Pitangui/MG, CEP 35.650-000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991B69">
        <w:rPr>
          <w:rFonts w:ascii="Cambria" w:hAnsi="Cambria" w:cs="Arial"/>
          <w:color w:val="000000"/>
        </w:rPr>
        <w:t>13.367.852/0001-63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991B69">
        <w:rPr>
          <w:rFonts w:ascii="Cambria" w:hAnsi="Cambria" w:cs="Arial"/>
          <w:color w:val="000000"/>
        </w:rPr>
        <w:t>Mariana Barcelos Lobato Chaves, inscrito no CPF/MF sob o nº. 081.175.146-56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403"/>
        <w:gridCol w:w="842"/>
        <w:gridCol w:w="963"/>
        <w:gridCol w:w="983"/>
        <w:gridCol w:w="907"/>
        <w:gridCol w:w="970"/>
        <w:gridCol w:w="907"/>
        <w:gridCol w:w="1001"/>
      </w:tblGrid>
      <w:tr w:rsidR="002D1114" w:rsidRPr="00E9383C" w14:paraId="1F0EE8D9" w14:textId="77777777" w:rsidTr="002D1114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0BF8DEF1" w14:textId="77777777" w:rsidR="002D1114" w:rsidRPr="00E9383C" w:rsidRDefault="002D1114" w:rsidP="00E9383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  <w:hideMark/>
          </w:tcPr>
          <w:p w14:paraId="658D81AA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573" w:type="dxa"/>
            <w:gridSpan w:val="7"/>
            <w:shd w:val="clear" w:color="auto" w:fill="auto"/>
            <w:vAlign w:val="center"/>
            <w:hideMark/>
          </w:tcPr>
          <w:p w14:paraId="00B446DB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2D1114" w:rsidRPr="00E9383C" w14:paraId="5FD82238" w14:textId="77777777" w:rsidTr="002D1114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1A078389" w14:textId="77777777" w:rsidR="002D1114" w:rsidRPr="00E9383C" w:rsidRDefault="002D1114" w:rsidP="00E9383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14:paraId="2D4DCE50" w14:textId="77777777" w:rsidR="002D1114" w:rsidRPr="00E9383C" w:rsidRDefault="002D1114" w:rsidP="00E9383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8" w:type="dxa"/>
            <w:gridSpan w:val="3"/>
            <w:shd w:val="clear" w:color="000000" w:fill="BFBFBF"/>
            <w:vAlign w:val="center"/>
            <w:hideMark/>
          </w:tcPr>
          <w:p w14:paraId="1CF0A35A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77" w:type="dxa"/>
            <w:gridSpan w:val="2"/>
            <w:shd w:val="clear" w:color="000000" w:fill="BFBFBF"/>
            <w:vAlign w:val="center"/>
            <w:hideMark/>
          </w:tcPr>
          <w:p w14:paraId="56B76C14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908" w:type="dxa"/>
            <w:gridSpan w:val="2"/>
            <w:shd w:val="clear" w:color="000000" w:fill="BFBFBF"/>
            <w:vAlign w:val="center"/>
            <w:hideMark/>
          </w:tcPr>
          <w:p w14:paraId="55BA1C2F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2D1114" w:rsidRPr="00E9383C" w14:paraId="03FC80DE" w14:textId="77777777" w:rsidTr="002D1114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01A5B4CF" w14:textId="77777777" w:rsidR="002D1114" w:rsidRPr="00E9383C" w:rsidRDefault="002D1114" w:rsidP="00E9383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14:paraId="4D162358" w14:textId="77777777" w:rsidR="002D1114" w:rsidRPr="00E9383C" w:rsidRDefault="002D1114" w:rsidP="00E9383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 w:val="restart"/>
            <w:shd w:val="clear" w:color="000000" w:fill="D9D9D9"/>
            <w:vAlign w:val="center"/>
            <w:hideMark/>
          </w:tcPr>
          <w:p w14:paraId="6556BF02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4BEAA570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83" w:type="dxa"/>
            <w:vMerge w:val="restart"/>
            <w:shd w:val="clear" w:color="000000" w:fill="D9D9D9"/>
            <w:vAlign w:val="center"/>
            <w:hideMark/>
          </w:tcPr>
          <w:p w14:paraId="03D9A13E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07" w:type="dxa"/>
            <w:vMerge w:val="restart"/>
            <w:shd w:val="clear" w:color="000000" w:fill="D9D9D9"/>
            <w:vAlign w:val="center"/>
            <w:hideMark/>
          </w:tcPr>
          <w:p w14:paraId="4F0B7C0C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70" w:type="dxa"/>
            <w:vMerge w:val="restart"/>
            <w:shd w:val="clear" w:color="000000" w:fill="D9D9D9"/>
            <w:vAlign w:val="center"/>
            <w:hideMark/>
          </w:tcPr>
          <w:p w14:paraId="06A2BEDD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07" w:type="dxa"/>
            <w:vMerge w:val="restart"/>
            <w:shd w:val="clear" w:color="000000" w:fill="D9D9D9"/>
            <w:vAlign w:val="center"/>
            <w:hideMark/>
          </w:tcPr>
          <w:p w14:paraId="2C80EA58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01" w:type="dxa"/>
            <w:vMerge w:val="restart"/>
            <w:shd w:val="clear" w:color="000000" w:fill="D9D9D9"/>
            <w:vAlign w:val="center"/>
            <w:hideMark/>
          </w:tcPr>
          <w:p w14:paraId="68AB0570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2D1114" w:rsidRPr="00E9383C" w14:paraId="7BBA2865" w14:textId="77777777" w:rsidTr="002D1114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08E87CB3" w14:textId="77777777" w:rsidR="002D1114" w:rsidRPr="00E9383C" w:rsidRDefault="002D1114" w:rsidP="00E9383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14:paraId="5A048D68" w14:textId="77777777" w:rsidR="002D1114" w:rsidRPr="00E9383C" w:rsidRDefault="002D1114" w:rsidP="00E9383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14:paraId="7BB1B953" w14:textId="77777777" w:rsidR="002D1114" w:rsidRPr="00E9383C" w:rsidRDefault="002D1114" w:rsidP="00E9383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6C1FB097" w14:textId="77777777" w:rsidR="002D1114" w:rsidRPr="00E9383C" w:rsidRDefault="002D1114" w:rsidP="00E9383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16C69269" w14:textId="77777777" w:rsidR="002D1114" w:rsidRPr="00E9383C" w:rsidRDefault="002D1114" w:rsidP="00E9383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5AEB7BDE" w14:textId="77777777" w:rsidR="002D1114" w:rsidRPr="00E9383C" w:rsidRDefault="002D1114" w:rsidP="00E9383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16FBD68E" w14:textId="77777777" w:rsidR="002D1114" w:rsidRPr="00E9383C" w:rsidRDefault="002D1114" w:rsidP="00E9383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5662D66F" w14:textId="77777777" w:rsidR="002D1114" w:rsidRPr="00E9383C" w:rsidRDefault="002D1114" w:rsidP="00E9383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14:paraId="28C939CA" w14:textId="77777777" w:rsidR="002D1114" w:rsidRPr="00E9383C" w:rsidRDefault="002D1114" w:rsidP="00E9383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2D1114" w:rsidRPr="00E9383C" w14:paraId="0F65F923" w14:textId="77777777" w:rsidTr="002D1114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FAC9D68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0C1F7C38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Apito para arbitro de futebol PROFISSIONAL.MATERIAL: PLASTICO ABS </w:t>
            </w:r>
            <w:proofErr w:type="spellStart"/>
            <w:proofErr w:type="gramStart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ATOXICO,Bocal</w:t>
            </w:r>
            <w:proofErr w:type="gramEnd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:silicone,Medidas</w:t>
            </w:r>
            <w:proofErr w:type="spellEnd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: 2,0x4,00x2,2. Cor Preto e cordão preto.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EED373A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D6C7F77" w14:textId="7C46AADB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2662D871" w14:textId="5B00DD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9162338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151EFB7" w14:textId="7DE8B1FE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F66072F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682E8FC1" w14:textId="438EE3F8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1.650,00</w:t>
            </w:r>
          </w:p>
        </w:tc>
      </w:tr>
      <w:tr w:rsidR="002D1114" w:rsidRPr="00E9383C" w14:paraId="4C8EB61B" w14:textId="77777777" w:rsidTr="002D1114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6136158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408A5E8F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COPO EM ACRILICO 550ML, MODELO TWISTER, PERSONALIZAÇÃO FRENTE E VERSO.TAMANHO </w:t>
            </w:r>
            <w:proofErr w:type="gramStart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APROXIMADO :</w:t>
            </w:r>
            <w:proofErr w:type="gramEnd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14X9X28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75A7BE1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54F17BF" w14:textId="50C57B4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464EA5EC" w14:textId="6B5471CE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24016AA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7FB25FFB" w14:textId="67483F2C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1.470,00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919136C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520AFE29" w14:textId="43A38FCC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7.350,00</w:t>
            </w:r>
          </w:p>
        </w:tc>
      </w:tr>
      <w:tr w:rsidR="002D1114" w:rsidRPr="00E9383C" w14:paraId="2F9D0722" w14:textId="77777777" w:rsidTr="002D1114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19ED13FC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37246CC9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BOMBA PARA ENCHER BOLA.COMPOSIÇÃO :PLÁSTICO, MANGUEIRA E AGULHA EM METAL, TECNOLOGIA DOUBLE ACTION</w:t>
            </w:r>
            <w:r w:rsidRPr="00E9383C">
              <w:rPr>
                <w:rFonts w:ascii="Cambria" w:hAnsi="Cambria" w:cs="Calibri"/>
                <w:b/>
                <w:bCs/>
                <w:color w:val="6C6C6C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0B6E2461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B764A0C" w14:textId="7A27B2D1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38,50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240379AA" w14:textId="10997605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45F374A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43D8E521" w14:textId="4C779E1E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2DAF542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54FFCFC0" w14:textId="3E06169E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3.850,00</w:t>
            </w:r>
          </w:p>
        </w:tc>
      </w:tr>
      <w:tr w:rsidR="002D1114" w:rsidRPr="00E9383C" w14:paraId="7DE9DE2A" w14:textId="77777777" w:rsidTr="002D1114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36277566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22CF9FED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Bola de handball, oficial costurada, categoria </w:t>
            </w:r>
            <w:proofErr w:type="spellStart"/>
            <w:proofErr w:type="gramStart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adulto,CAMARA</w:t>
            </w:r>
            <w:proofErr w:type="spellEnd"/>
            <w:proofErr w:type="gramEnd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6D, FORRO TRIAXIAL,ECVACEL, PU PRO E CAPSULA SIS. 475g, aprovada pela CBH ou FMH. 58 CM.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23700B8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3236078" w14:textId="7F86DA06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5F38BC53" w14:textId="572781DD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E9DA91A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16D01F8" w14:textId="27FADA16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DF1516C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5DCD7D44" w14:textId="11EB1E01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4.700,00</w:t>
            </w:r>
          </w:p>
        </w:tc>
      </w:tr>
      <w:tr w:rsidR="002D1114" w:rsidRPr="00E9383C" w14:paraId="51F6FF39" w14:textId="77777777" w:rsidTr="002D1114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0FFCDF55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73106CE8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Bola de handball, oficial costurada, categoria </w:t>
            </w:r>
            <w:proofErr w:type="spellStart"/>
            <w:proofErr w:type="gramStart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adulto,CAMARA</w:t>
            </w:r>
            <w:proofErr w:type="spellEnd"/>
            <w:proofErr w:type="gramEnd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6D, FORRO </w:t>
            </w: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lastRenderedPageBreak/>
              <w:t>TRIAXIAL,ECVACEL, PU PRO E CAPSULA SIS. 450g, aprovada pela CBH ou FMH. 56 CM.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82F06DA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F26BBBA" w14:textId="5F66F16E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169,00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2BFCA2F1" w14:textId="0B1CAB81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603BF43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8CD1A4C" w14:textId="2F520A6B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F76AED9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671EA17B" w14:textId="69B0F1CF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4.225,00</w:t>
            </w:r>
          </w:p>
        </w:tc>
      </w:tr>
      <w:tr w:rsidR="002D1114" w:rsidRPr="00E9383C" w14:paraId="635FA469" w14:textId="77777777" w:rsidTr="002D1114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0BAA15A3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170CBF39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Bola futsal, </w:t>
            </w:r>
            <w:proofErr w:type="spellStart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termotec</w:t>
            </w:r>
            <w:proofErr w:type="spellEnd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costurada, oficial, categoria adulto, modelo aprovada pela CBFS ou FMFS, confeccionada em PU PRÓ, NEOTEC ultra 100%, câmara de ar SIS OU SIMILAR, com miolo </w:t>
            </w:r>
            <w:proofErr w:type="spellStart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slip</w:t>
            </w:r>
            <w:proofErr w:type="spellEnd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, peso entre 410 e 430g Tecnologia SIS CIRCUNFERENCIA 62-64 CM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F10993D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AD3A775" w14:textId="6D39E78A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82,40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44CBF55E" w14:textId="4EFDA314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6.592,00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F90E406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5488A1F4" w14:textId="2D930CD6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6.592,00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8B9FD70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323C6577" w14:textId="6E821502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32.960,00</w:t>
            </w:r>
          </w:p>
        </w:tc>
      </w:tr>
      <w:tr w:rsidR="002D1114" w:rsidRPr="00E9383C" w14:paraId="0DB7CA97" w14:textId="77777777" w:rsidTr="002D1114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6733463B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351A2977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PORTA BOLA PARA TRANSPORTE.  COMPOSIÇÃO NYLON COM ALÇA COMPLEMENTAR, CAPACIDADE PARA 7 BOLAS, SENDO ELAS DE FUTEBOL DE CAMPO OU VOLEIBOL.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7B58083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91009F8" w14:textId="6158108D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33,80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175B238C" w14:textId="655B8270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169,00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E6F6B08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3369DC16" w14:textId="7EB5425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169,00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F2D0B16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7E0F35B0" w14:textId="59954C64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845,00</w:t>
            </w:r>
          </w:p>
        </w:tc>
      </w:tr>
      <w:tr w:rsidR="002D1114" w:rsidRPr="00E9383C" w14:paraId="6AC7624B" w14:textId="77777777" w:rsidTr="002D1114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EE3B940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6146C781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Rede de futebol de campo fio duplo, em polietileno,100% impermeabilizado resistente a raio UV, com fio de 6mm, tamanho oficial, malha 10x10.Tamanho 7,50x2,50x2,00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73609858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BC16B2B" w14:textId="5D4ADF1F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26392C8F" w14:textId="745DE6D3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A6F3EEA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18CD9677" w14:textId="63928869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21205A9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286FE13D" w14:textId="0AB0F57C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29.500,00</w:t>
            </w:r>
          </w:p>
        </w:tc>
      </w:tr>
      <w:tr w:rsidR="002D1114" w:rsidRPr="00E9383C" w14:paraId="4DC26C8A" w14:textId="77777777" w:rsidTr="002D1114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7E12D44C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33676DF5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Rede de FUTEBOL </w:t>
            </w:r>
            <w:proofErr w:type="spellStart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society</w:t>
            </w:r>
            <w:proofErr w:type="spellEnd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fio duplo, em polietileno,100% impermeabilizado resistente a raio UV, com fio de 6mm, tamanho oficial, malha 10x10. 6 metros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1F21DB5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06A6A17" w14:textId="6FDCC164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374,00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6D74DD2D" w14:textId="67E37AFA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3.740,00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7560BF9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7B161669" w14:textId="024F78A5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3.740,00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966BAE0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151BD940" w14:textId="084E3DA8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18.700,00</w:t>
            </w:r>
          </w:p>
        </w:tc>
      </w:tr>
      <w:tr w:rsidR="002D1114" w:rsidRPr="00E9383C" w14:paraId="6CABC3FE" w14:textId="77777777" w:rsidTr="002D1114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6CAC459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1BDB587C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Rede de vôlei em polietileno impermeabilizado, resistente a raio UV, com fio de 4mm de </w:t>
            </w:r>
            <w:proofErr w:type="gramStart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espessura ,</w:t>
            </w:r>
            <w:proofErr w:type="gramEnd"/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aprovada e oficial.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8DE51D5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3F6287B" w14:textId="60748A99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657BB0D3" w14:textId="04F1246A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53B8D0E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689F3C55" w14:textId="78932F18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FDA7873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3B4B9903" w14:textId="4B9A5F09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</w:tr>
      <w:tr w:rsidR="002D1114" w:rsidRPr="00E9383C" w14:paraId="58DAAC21" w14:textId="77777777" w:rsidTr="002D1114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148AE7EE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2FF0444B" w14:textId="77777777" w:rsidR="002D1114" w:rsidRPr="00E9383C" w:rsidRDefault="002D1114" w:rsidP="00E9383C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Rede para peteca, em nylon, com fio de 4mm de espessura, trançado em malha de 10cm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F78B8E1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5595C17" w14:textId="3FAD4725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102EBBB8" w14:textId="1380B1B5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545,00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BE441C1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EBB86FF" w14:textId="4540B5F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545,00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B369E1B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295C57DD" w14:textId="140152C4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2.725,00</w:t>
            </w:r>
          </w:p>
        </w:tc>
      </w:tr>
      <w:tr w:rsidR="002D1114" w:rsidRPr="00E9383C" w14:paraId="3E883306" w14:textId="77777777" w:rsidTr="002D1114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580A4AAC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1DDF9CC7" w14:textId="77777777" w:rsidR="002D1114" w:rsidRPr="00E9383C" w:rsidRDefault="002D1114" w:rsidP="00E9383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Cobertura: película </w:t>
            </w:r>
            <w:proofErr w:type="spellStart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siliconizada</w:t>
            </w:r>
            <w:proofErr w:type="spellEnd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textura especial para </w:t>
            </w:r>
            <w:proofErr w:type="gramStart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pratica</w:t>
            </w:r>
            <w:proofErr w:type="gramEnd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desportiva. Composição: E.V.A copolímero etileno acetato de vinila especialmente desenvolvido para absorção de impactos com ótima memória de retorno. Espessuras:  30mm* ou superior. Base: Para as placas a partir de 20mm, Dimensões: 1000mm x 1000mm (1M x 1M) </w:t>
            </w:r>
            <w:proofErr w:type="spellStart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Cortes:Corte</w:t>
            </w:r>
            <w:proofErr w:type="spellEnd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Dentado de </w:t>
            </w:r>
            <w:proofErr w:type="gramStart"/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encaixe .</w:t>
            </w:r>
            <w:proofErr w:type="gramEnd"/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8E2E2D" w14:textId="77777777" w:rsidR="002D1114" w:rsidRPr="00E9383C" w:rsidRDefault="002D1114" w:rsidP="00E9383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78E2A72" w14:textId="14F3CDC8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983" w:type="dxa"/>
            <w:shd w:val="clear" w:color="000000" w:fill="FFFFFF"/>
            <w:vAlign w:val="center"/>
            <w:hideMark/>
          </w:tcPr>
          <w:p w14:paraId="63FF36CC" w14:textId="363AFFDE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0E612B7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14:paraId="2568D1D2" w14:textId="33A24FD9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14628E0" w14:textId="77777777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14:paraId="3B9AED12" w14:textId="02A42FD6" w:rsidR="002D1114" w:rsidRPr="00E9383C" w:rsidRDefault="002D1114" w:rsidP="002D1114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9383C">
              <w:rPr>
                <w:rFonts w:ascii="Cambria" w:hAnsi="Cambria" w:cs="Calibri"/>
                <w:color w:val="000000"/>
                <w:sz w:val="16"/>
                <w:szCs w:val="16"/>
              </w:rPr>
              <w:t>31.000,00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194A0FF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2E60723D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609EE54F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</w:t>
      </w:r>
      <w:r w:rsidRPr="00500FE5">
        <w:rPr>
          <w:rFonts w:ascii="Cambria" w:hAnsi="Cambria"/>
          <w:bCs/>
          <w:color w:val="000000"/>
          <w:szCs w:val="24"/>
        </w:rPr>
        <w:lastRenderedPageBreak/>
        <w:t>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7D2115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6557654B" w:rsidR="00961925" w:rsidRPr="00500FE5" w:rsidRDefault="00215508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500FE5">
        <w:rPr>
          <w:rFonts w:ascii="Cambria" w:hAnsi="Cambria" w:cs="Arial"/>
          <w:color w:val="000000"/>
        </w:rPr>
        <w:t xml:space="preserve">Integram esta Ata, o edital do Pregão nº </w:t>
      </w:r>
      <w:r w:rsidR="00DB5574">
        <w:rPr>
          <w:rFonts w:ascii="Cambria" w:hAnsi="Cambria" w:cs="Arial"/>
          <w:color w:val="000000"/>
        </w:rPr>
        <w:t>033/2021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8615F3" w:rsidR="00961925" w:rsidRPr="00500FE5" w:rsidRDefault="00215508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500FE5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049289E6" w:rsidR="00961925" w:rsidRPr="00500FE5" w:rsidRDefault="00215508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lastRenderedPageBreak/>
        <w:t xml:space="preserve">III - </w:t>
      </w:r>
      <w:r w:rsidR="00961925" w:rsidRPr="00500FE5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378E207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215508">
        <w:rPr>
          <w:rFonts w:ascii="Cambria" w:hAnsi="Cambria"/>
          <w:color w:val="000000"/>
          <w:szCs w:val="24"/>
        </w:rPr>
        <w:t>14 de julho de 2021.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063A31BA" w14:textId="77777777" w:rsidR="00215508" w:rsidRPr="00215508" w:rsidRDefault="00215508" w:rsidP="0021550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15508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215508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4BF61986" w:rsidR="00961925" w:rsidRPr="00215508" w:rsidRDefault="00215508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15508">
        <w:rPr>
          <w:rFonts w:ascii="Cambria" w:hAnsi="Cambria" w:cs="Arial"/>
          <w:b/>
          <w:bCs/>
          <w:i/>
          <w:iCs/>
          <w:color w:val="000000"/>
        </w:rPr>
        <w:t>Comercial Só Esportes Ltda ME</w:t>
      </w:r>
    </w:p>
    <w:p w14:paraId="26C2CACA" w14:textId="6A60D474" w:rsidR="00961925" w:rsidRPr="00500FE5" w:rsidRDefault="00215508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13.367.852/0001-63</w:t>
      </w: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40682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3542"/>
    <w:rsid w:val="0010144B"/>
    <w:rsid w:val="00114592"/>
    <w:rsid w:val="00141979"/>
    <w:rsid w:val="00145157"/>
    <w:rsid w:val="001652CB"/>
    <w:rsid w:val="00173E14"/>
    <w:rsid w:val="00176770"/>
    <w:rsid w:val="00185868"/>
    <w:rsid w:val="001A15A9"/>
    <w:rsid w:val="001A5F93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15508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90BD1"/>
    <w:rsid w:val="002A01B8"/>
    <w:rsid w:val="002B7728"/>
    <w:rsid w:val="002B773F"/>
    <w:rsid w:val="002C36F6"/>
    <w:rsid w:val="002C5D24"/>
    <w:rsid w:val="002D1114"/>
    <w:rsid w:val="002D3DAC"/>
    <w:rsid w:val="002E4F4B"/>
    <w:rsid w:val="002E7700"/>
    <w:rsid w:val="00301908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8644E"/>
    <w:rsid w:val="0039711B"/>
    <w:rsid w:val="003B0F42"/>
    <w:rsid w:val="003B348D"/>
    <w:rsid w:val="003B78C9"/>
    <w:rsid w:val="003C1580"/>
    <w:rsid w:val="003C1A36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67B58"/>
    <w:rsid w:val="00474141"/>
    <w:rsid w:val="004868C0"/>
    <w:rsid w:val="004A0C06"/>
    <w:rsid w:val="004B39EA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C2EAB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5445"/>
    <w:rsid w:val="006976A3"/>
    <w:rsid w:val="006A06B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20F98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07E26"/>
    <w:rsid w:val="00934867"/>
    <w:rsid w:val="009615FB"/>
    <w:rsid w:val="00961925"/>
    <w:rsid w:val="009634F9"/>
    <w:rsid w:val="00964DC0"/>
    <w:rsid w:val="00977B31"/>
    <w:rsid w:val="00980456"/>
    <w:rsid w:val="00987780"/>
    <w:rsid w:val="00991B69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C25B1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58F0"/>
    <w:rsid w:val="00D47A97"/>
    <w:rsid w:val="00D51CAF"/>
    <w:rsid w:val="00D52224"/>
    <w:rsid w:val="00D55E83"/>
    <w:rsid w:val="00D91CBE"/>
    <w:rsid w:val="00D940FA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7843"/>
    <w:rsid w:val="00E33FEC"/>
    <w:rsid w:val="00E548A9"/>
    <w:rsid w:val="00E61995"/>
    <w:rsid w:val="00E81C16"/>
    <w:rsid w:val="00E83D4F"/>
    <w:rsid w:val="00E9383C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2272</Words>
  <Characters>12272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</cp:revision>
  <cp:lastPrinted>2021-07-16T13:33:00Z</cp:lastPrinted>
  <dcterms:created xsi:type="dcterms:W3CDTF">2021-07-16T15:26:00Z</dcterms:created>
  <dcterms:modified xsi:type="dcterms:W3CDTF">2021-07-16T15:46:00Z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