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 xml:space="preserve">Mário Reis </w:t>
      </w:r>
      <w:proofErr w:type="spellStart"/>
      <w:r w:rsidR="008D0C74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81202">
        <w:rPr>
          <w:rFonts w:ascii="Cambria" w:hAnsi="Cambria" w:cs="Arial"/>
          <w:b/>
          <w:color w:val="000000"/>
        </w:rPr>
        <w:t>MINAS HORIZONTE COMERCIO DE PRODUTOS PARA SAÚDE E EDUCAÇÃO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62065B">
        <w:rPr>
          <w:rFonts w:ascii="Cambria" w:hAnsi="Cambria" w:cs="Arial"/>
          <w:color w:val="000000"/>
        </w:rPr>
        <w:t>Avenida dos Andradas, nº. 367, Loja 201C, Centro, Belo Horizonte/MG, CEP 30.120-907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62065B">
        <w:rPr>
          <w:rFonts w:ascii="Cambria" w:hAnsi="Cambria" w:cs="Arial"/>
          <w:color w:val="000000"/>
        </w:rPr>
        <w:t>31.688.570/0001-40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62065B">
        <w:rPr>
          <w:rFonts w:ascii="Cambria" w:hAnsi="Cambria" w:cs="Arial"/>
          <w:color w:val="000000"/>
        </w:rPr>
        <w:t>Rosangela Luciana Cardoso Marques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62065B">
        <w:rPr>
          <w:rFonts w:ascii="Cambria" w:hAnsi="Cambria" w:cs="Arial"/>
          <w:color w:val="000000"/>
        </w:rPr>
        <w:t>522.719.786-53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117"/>
        <w:gridCol w:w="849"/>
        <w:gridCol w:w="939"/>
        <w:gridCol w:w="1048"/>
        <w:gridCol w:w="928"/>
        <w:gridCol w:w="1033"/>
        <w:gridCol w:w="928"/>
        <w:gridCol w:w="1051"/>
      </w:tblGrid>
      <w:tr w:rsidR="00EE7BC0" w:rsidRPr="00EE7BC0" w:rsidTr="00EE7BC0">
        <w:trPr>
          <w:trHeight w:val="20"/>
        </w:trPr>
        <w:tc>
          <w:tcPr>
            <w:tcW w:w="525" w:type="dxa"/>
            <w:vMerge w:val="restart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888" w:type="dxa"/>
            <w:gridSpan w:val="7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1" w:type="dxa"/>
            <w:gridSpan w:val="3"/>
            <w:shd w:val="clear" w:color="000000" w:fill="BFBFB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04" w:type="dxa"/>
            <w:gridSpan w:val="2"/>
            <w:shd w:val="clear" w:color="000000" w:fill="BFBFB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13" w:type="dxa"/>
            <w:gridSpan w:val="2"/>
            <w:shd w:val="clear" w:color="000000" w:fill="BFBFB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EE7BC0" w:rsidRPr="00EE7BC0" w:rsidTr="00EE7BC0">
        <w:trPr>
          <w:trHeight w:val="276"/>
        </w:trPr>
        <w:tc>
          <w:tcPr>
            <w:tcW w:w="525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58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67" w:type="dxa"/>
            <w:vMerge w:val="restart"/>
            <w:shd w:val="clear" w:color="000000" w:fill="D9D9D9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EE7BC0" w:rsidRPr="00EE7BC0" w:rsidTr="00EE7BC0">
        <w:trPr>
          <w:trHeight w:val="276"/>
        </w:trPr>
        <w:tc>
          <w:tcPr>
            <w:tcW w:w="525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vMerge/>
            <w:vAlign w:val="center"/>
            <w:hideMark/>
          </w:tcPr>
          <w:p w:rsidR="00EE7BC0" w:rsidRPr="00EE7BC0" w:rsidRDefault="00EE7BC0" w:rsidP="00EE7BC0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CARRINHO PARA TRANSPORTE DE ROUPA LIMPA EM AÇO INOX. Estrutura em chapa de </w:t>
            </w:r>
            <w:proofErr w:type="spellStart"/>
            <w:proofErr w:type="gram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aço;duas</w:t>
            </w:r>
            <w:proofErr w:type="spellEnd"/>
            <w:proofErr w:type="gram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portas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lateral;chassi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proteção de borracha em toda 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volta;pés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rodízios de 4 em polipropileno, com sistema de freios em diagonal. Dimensões 0,90mx0,50mx1,15m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81.000,00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MESA P/AMBULATÓRIO CM700.Mesa de ferro para </w:t>
            </w:r>
            <w:proofErr w:type="spellStart"/>
            <w:proofErr w:type="gram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ambulatório,tipo</w:t>
            </w:r>
            <w:proofErr w:type="spellEnd"/>
            <w:proofErr w:type="gram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escrivaninha. Estrutura em tubo 25x25x1,2mm.Chapa de aço0,75mm., com 02 gavetas, pés com ponteiras, pintura eletrostática a pó; comprimento:90cm, largura/profundidade:60cm; altura:80cm.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45.000,00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MESA AUXILIAR 0,40X0,40X0,80 EPOXI MT 392 COM  04 RODÍZIO. MESA AUXILIAR EM INOX COM RODÍZIOS:ESTRUTURA EM TUBOS DE AÇO CROMADO, TAMPO E PRATELEIRA EM CHAPA DE AÇO INOXIDÁVEL, PÉS PROTEGIDOS SEM RODÍZIOS: DIMENSÕES MÍNIMAS: 40X60X80. GARANTIA MÍNIMA DE 01 ANO CONTRA DEFEITOS DE FABRICAÇÃO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24.000,00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CAMA HOSPITALAR,  03 MANIVELAS ACOMPANHADA DE COLCHÃO HOSPITALAR COM CAPA IMPERMEÁVEL. Modelo2762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Movimentos:Fawler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/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semi-fawler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flexão de pernas,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dorso,vascular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elevação de leito; dimensões totais do leito:0,90X1,90cm; altura mínima do leito:45cm; altura máxima do leito 70cm;grades laterais:1,20X0,40cm; capacidade máxima 130Kg. A estrutura da cama é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constituida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perfis de aço 50X25X2,65mm que garantem o conforto absoluto às  pressões que são submetidos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regularmente.É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costituida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quatro divisórias de articulação com cantoneiras de 1X1/8 e revestida por chapas de aço na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expessura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de 0,6mm para garantir movimento suave e silencioso e que são fixadas por trás do leito para evitar o acúmulo de sujeira , garantido fácil higienização. Cabeceira e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peseiras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removíveis produzida em material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termoplásticode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alta resistência. Estrutura de aço carbono de 1”1/4X1,20mm para permitir abertura da grade  através de um sistema de segurança de encaixe “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trava”e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“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destrava”Pintura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eletrostática em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epoxi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na cor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branca;rodízios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3” de diâmetro, sendo dois com freios e dois sem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freios.GARANTIA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MINIMA DE 01 ANO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230.000,00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MESA GINECOLÓGICA TUBULAR ESTOFADA. Estrutura: tubo redondo de aço carbono 1.1/4”; leito acolchoado com espuma de </w:t>
            </w: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alta densidade revestida em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courvim,dividido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03 seções, sendo assento fixo, parte posterior e anterior com movimentos através de cremalheira. Equipada: com um par de porta-coxas, com base inox e apoio em  alumínio, anexos e gaveta de aço inoxidável. Acabamento em pintura eletrostática a pó  com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eficiêcia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anticorrosiva por meio de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fosfatização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conferindo excelente resistência química contra corrosão. Dimensões externas aproximadas: 1,82 m compr. x 51,5 cm largura x 89 cm alt. GARANTIA MINIMA DE 01 ANO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42.000,00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AMÁRIO VITRINE COM 02 PORTAS PARA AMBULATÓRIO. Resistente, composto de chapa de aço esmaltada,  duas portas de vidro cristal com 04  prateleiras de  vidro fantasia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82.500,00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MESA AUXILIAR  DE MAYO INOX. Possui  armação tubular com rodízio de 2 totalmente inox altura regulável por roseta; acompanha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bandejaem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aço inox; altura mínima 0,77m; altura máxima1,25m; dimensão da bandeja 43cm de comp. X30,5cm de larg. Peso total 03kg.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23.250,00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POLTRONA RECLINÁVEL HOSPITALAR DESCANSO ACOMPANHANTE 150Kg. MODELO BÁSICO. Reclinável em 04 posições através de molas; estofado com espuma D26 revestido em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courvim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azul ;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lavanca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acionamento de posições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lateral;pintura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epóxi através de processo eletrostático 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pó;pés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ponteiras.Posição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normal , altura do assento 0,55m e largura do assento0,53m;capacidade  150kg. GARANTIA MINIMA DE 01 ANO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31.500,00</w:t>
            </w:r>
          </w:p>
        </w:tc>
      </w:tr>
      <w:tr w:rsidR="00EE7BC0" w:rsidRPr="00EE7BC0" w:rsidTr="00EE7BC0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BALANÇA MÉDICA ANTROPOMÉTRICA DIGITAL. Dispor de visor de policarbonato de alta resistência à umidade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elevada;Plataforma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chapa de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açocarbono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102;piso antiderrapante com tapete para revestir 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plataformade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pesagem proporcionando maior conforto aos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usuários.Prático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sistema para medir altura construído em tubo de aço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carbona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pintado na cor da balança, com régua antropométrica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retátil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alumínio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anodizado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medindo até 02 metros com graduação de 0,5cm. Cabeçote da régua antropométrica em plástico ABS injetado, com desenho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ergonômicoespecialmente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desenvolvidopara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garantir máxima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segurançaao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paciente;pés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antiderrapante  em borracha sintética, além de permitir a correção do nivelamento, oferecer maior aderência ao </w:t>
            </w:r>
            <w:proofErr w:type="spellStart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piso.Capacidade</w:t>
            </w:r>
            <w:proofErr w:type="spellEnd"/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pesagem 200kg com divisão de 100g. GARANTIA MINIMA DE 01 ANO 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46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EE7BC0" w:rsidRPr="00EE7BC0" w:rsidRDefault="00EE7BC0" w:rsidP="00EE7BC0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E7BC0">
              <w:rPr>
                <w:rFonts w:ascii="Cambria" w:hAnsi="Cambria" w:cs="Calibri"/>
                <w:color w:val="000000"/>
                <w:sz w:val="16"/>
                <w:szCs w:val="16"/>
              </w:rPr>
              <w:t>45.000,00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173E14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173E14">
        <w:rPr>
          <w:rFonts w:ascii="Cambria" w:hAnsi="Cambria"/>
          <w:color w:val="000000"/>
          <w:szCs w:val="24"/>
        </w:rPr>
        <w:lastRenderedPageBreak/>
        <w:t xml:space="preserve">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D960B5" w:rsidRDefault="00D960B5" w:rsidP="00D960B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D960B5" w:rsidRDefault="00D960B5" w:rsidP="00D960B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D960B5" w:rsidRDefault="00D960B5" w:rsidP="00D960B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D960B5" w:rsidRDefault="00D960B5" w:rsidP="00D960B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D960B5" w:rsidRDefault="00D960B5" w:rsidP="00D960B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D064A3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920E2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Minas Horizonte Comercio de Produtos Para Saúde e Educação </w:t>
      </w:r>
      <w:proofErr w:type="spellStart"/>
      <w:r>
        <w:rPr>
          <w:rFonts w:ascii="Cambria" w:hAnsi="Cambria" w:cs="Arial"/>
          <w:b/>
          <w:i/>
          <w:color w:val="000000"/>
        </w:rPr>
        <w:t>Eireli</w:t>
      </w:r>
      <w:proofErr w:type="spellEnd"/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920E2A">
        <w:rPr>
          <w:rFonts w:ascii="Cambria" w:hAnsi="Cambria" w:cs="Arial"/>
          <w:color w:val="000000"/>
        </w:rPr>
        <w:t>31.688.570/0001-40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D2" w:rsidRDefault="00D850D2">
      <w:r>
        <w:separator/>
      </w:r>
    </w:p>
  </w:endnote>
  <w:endnote w:type="continuationSeparator" w:id="0">
    <w:p w:rsidR="00D850D2" w:rsidRDefault="00D8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D2" w:rsidRDefault="00D850D2">
      <w:r>
        <w:separator/>
      </w:r>
    </w:p>
  </w:footnote>
  <w:footnote w:type="continuationSeparator" w:id="0">
    <w:p w:rsidR="00D850D2" w:rsidRDefault="00D8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4558"/>
    <w:rsid w:val="0005728F"/>
    <w:rsid w:val="0006281E"/>
    <w:rsid w:val="00071E54"/>
    <w:rsid w:val="000770C1"/>
    <w:rsid w:val="00083DD1"/>
    <w:rsid w:val="0008701C"/>
    <w:rsid w:val="00094E69"/>
    <w:rsid w:val="00095633"/>
    <w:rsid w:val="000E427B"/>
    <w:rsid w:val="000E479B"/>
    <w:rsid w:val="0010144B"/>
    <w:rsid w:val="00173E14"/>
    <w:rsid w:val="001A15A9"/>
    <w:rsid w:val="001A5F93"/>
    <w:rsid w:val="001B5D1E"/>
    <w:rsid w:val="001D46C5"/>
    <w:rsid w:val="001E0899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9711B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937A6"/>
    <w:rsid w:val="005A0CC7"/>
    <w:rsid w:val="005A3440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65F8"/>
    <w:rsid w:val="007E7333"/>
    <w:rsid w:val="007F6918"/>
    <w:rsid w:val="008020A0"/>
    <w:rsid w:val="00804E05"/>
    <w:rsid w:val="00816A61"/>
    <w:rsid w:val="00823D9E"/>
    <w:rsid w:val="00844F2C"/>
    <w:rsid w:val="00853118"/>
    <w:rsid w:val="008537C3"/>
    <w:rsid w:val="00854DF8"/>
    <w:rsid w:val="00865AE6"/>
    <w:rsid w:val="008763DC"/>
    <w:rsid w:val="00891BB4"/>
    <w:rsid w:val="008A4BCA"/>
    <w:rsid w:val="008A7C06"/>
    <w:rsid w:val="008D0C74"/>
    <w:rsid w:val="008D6E6C"/>
    <w:rsid w:val="008E594C"/>
    <w:rsid w:val="008F0EA8"/>
    <w:rsid w:val="00910FFE"/>
    <w:rsid w:val="00920E2A"/>
    <w:rsid w:val="00934867"/>
    <w:rsid w:val="009615FB"/>
    <w:rsid w:val="00961925"/>
    <w:rsid w:val="00977B31"/>
    <w:rsid w:val="00980456"/>
    <w:rsid w:val="00981202"/>
    <w:rsid w:val="009B1C3D"/>
    <w:rsid w:val="009C09EF"/>
    <w:rsid w:val="009D484C"/>
    <w:rsid w:val="00A125D8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65DE"/>
    <w:rsid w:val="00AD0F4F"/>
    <w:rsid w:val="00AD2662"/>
    <w:rsid w:val="00B00BE4"/>
    <w:rsid w:val="00B27EB9"/>
    <w:rsid w:val="00B328B9"/>
    <w:rsid w:val="00B32E89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50D2"/>
    <w:rsid w:val="00D8534F"/>
    <w:rsid w:val="00D91CBE"/>
    <w:rsid w:val="00D960B5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83D4F"/>
    <w:rsid w:val="00EB2761"/>
    <w:rsid w:val="00EB3B2C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2623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8</cp:revision>
  <cp:lastPrinted>2019-03-15T12:10:00Z</cp:lastPrinted>
  <dcterms:created xsi:type="dcterms:W3CDTF">2020-03-25T13:37:00Z</dcterms:created>
  <dcterms:modified xsi:type="dcterms:W3CDTF">2020-03-25T17:35:00Z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