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B31D6B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Verdana"/>
          <w:b/>
        </w:rPr>
        <w:t xml:space="preserve">PROCESSO LICITATÓRIO Nº </w:t>
      </w:r>
      <w:r w:rsidR="00851576" w:rsidRPr="00B31D6B">
        <w:rPr>
          <w:rFonts w:ascii="Cambria" w:hAnsi="Cambria" w:cs="Verdana"/>
          <w:b/>
        </w:rPr>
        <w:t>079/2020</w:t>
      </w:r>
    </w:p>
    <w:p w14:paraId="20149FC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PREGÃO PRESENCIAL Nº </w:t>
      </w:r>
      <w:r w:rsidR="00851576" w:rsidRPr="00B31D6B">
        <w:rPr>
          <w:rFonts w:ascii="Cambria" w:hAnsi="Cambria" w:cs="Arial"/>
          <w:b/>
        </w:rPr>
        <w:t>043/2020</w:t>
      </w:r>
    </w:p>
    <w:p w14:paraId="20149FC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B31D6B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ATA DE REGISTRO DE PREÇOS Nº </w:t>
      </w:r>
      <w:r w:rsidR="00D722EE" w:rsidRPr="00B31D6B">
        <w:rPr>
          <w:rFonts w:ascii="Cambria" w:hAnsi="Cambria" w:cs="Arial"/>
        </w:rPr>
        <w:t>032</w:t>
      </w:r>
      <w:r w:rsidR="00BB0452" w:rsidRPr="00B31D6B">
        <w:rPr>
          <w:rFonts w:ascii="Cambria" w:hAnsi="Cambria" w:cs="Arial"/>
        </w:rPr>
        <w:t>/2020</w:t>
      </w:r>
      <w:r w:rsidRPr="00B31D6B">
        <w:rPr>
          <w:rFonts w:ascii="Cambria" w:hAnsi="Cambria" w:cs="Arial"/>
        </w:rPr>
        <w:t>.</w:t>
      </w:r>
    </w:p>
    <w:p w14:paraId="20149FCC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.</w:t>
      </w:r>
    </w:p>
    <w:p w14:paraId="20149FC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PROCESSO Nº </w:t>
      </w:r>
      <w:r w:rsidR="00851576" w:rsidRPr="00B31D6B">
        <w:rPr>
          <w:rFonts w:ascii="Cambria" w:hAnsi="Cambria" w:cs="Arial"/>
        </w:rPr>
        <w:t>079/2020</w:t>
      </w:r>
      <w:r w:rsidRPr="00B31D6B">
        <w:rPr>
          <w:rFonts w:ascii="Cambria" w:hAnsi="Cambria" w:cs="Arial"/>
        </w:rPr>
        <w:t>.</w:t>
      </w:r>
    </w:p>
    <w:p w14:paraId="20149FCE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VALIDADE: 12 meses.</w:t>
      </w:r>
    </w:p>
    <w:p w14:paraId="20149FD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1" w14:textId="77777777" w:rsidR="00451796" w:rsidRPr="00B31D6B" w:rsidRDefault="00451796">
      <w:pPr>
        <w:jc w:val="both"/>
        <w:rPr>
          <w:rFonts w:ascii="Cambria" w:hAnsi="Cambria" w:cs="Arial"/>
        </w:rPr>
      </w:pPr>
    </w:p>
    <w:p w14:paraId="20149FD2" w14:textId="6EA61BE8" w:rsidR="00451796" w:rsidRPr="00B31D6B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Aos </w:t>
      </w:r>
      <w:r w:rsidR="00E8174A">
        <w:rPr>
          <w:rFonts w:ascii="Cambria" w:hAnsi="Cambria" w:cs="Arial"/>
        </w:rPr>
        <w:t xml:space="preserve">13 (treze) </w:t>
      </w:r>
      <w:r w:rsidRPr="00B31D6B">
        <w:rPr>
          <w:rFonts w:ascii="Cambria" w:hAnsi="Cambria" w:cs="Arial"/>
        </w:rPr>
        <w:t xml:space="preserve">dias do mês de </w:t>
      </w:r>
      <w:r w:rsidR="00E8174A">
        <w:rPr>
          <w:rFonts w:ascii="Cambria" w:hAnsi="Cambria" w:cs="Arial"/>
        </w:rPr>
        <w:t>julho de 2020</w:t>
      </w:r>
      <w:r w:rsidRPr="00B31D6B">
        <w:rPr>
          <w:rFonts w:ascii="Cambria" w:hAnsi="Cambria" w:cs="Arial"/>
        </w:rPr>
        <w:t xml:space="preserve">, na sala de licitações, na sede da Prefeitura Municipal, situada na </w:t>
      </w:r>
      <w:r w:rsidR="00F81F61">
        <w:rPr>
          <w:rFonts w:ascii="Cambria" w:hAnsi="Cambria" w:cs="Arial"/>
        </w:rPr>
        <w:t>Avenida Francisco Valadares da Fonseca, nº. 250, bairro Vasco Lopes, Papagaios/MG, CEP 35.669-000</w:t>
      </w:r>
      <w:r w:rsidRPr="00B31D6B">
        <w:rPr>
          <w:rFonts w:ascii="Cambria" w:hAnsi="Cambria" w:cs="Arial"/>
        </w:rPr>
        <w:t xml:space="preserve">, o Exmo. Sr. Prefeito Municipal, Sr. </w:t>
      </w:r>
      <w:r w:rsidR="0055052A">
        <w:rPr>
          <w:rFonts w:ascii="Cambria" w:hAnsi="Cambria" w:cs="Arial"/>
        </w:rPr>
        <w:t>Mário Reis Filgueiras</w:t>
      </w:r>
      <w:r w:rsidRPr="00B31D6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B31D6B">
        <w:rPr>
          <w:rFonts w:ascii="Cambria" w:hAnsi="Cambria" w:cs="Arial"/>
        </w:rPr>
        <w:t>079/2020</w:t>
      </w:r>
      <w:r w:rsidRPr="00B31D6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82090">
        <w:rPr>
          <w:rFonts w:ascii="Cambria" w:hAnsi="Cambria" w:cs="Arial"/>
          <w:b/>
          <w:bCs/>
        </w:rPr>
        <w:t>ALFALAGOS LTDA</w:t>
      </w:r>
      <w:r w:rsidRPr="00B31D6B">
        <w:rPr>
          <w:rFonts w:ascii="Cambria" w:hAnsi="Cambria" w:cs="Arial"/>
        </w:rPr>
        <w:t xml:space="preserve">, localizado na </w:t>
      </w:r>
      <w:r w:rsidR="00F82090">
        <w:rPr>
          <w:rFonts w:ascii="Cambria" w:hAnsi="Cambria" w:cs="Arial"/>
        </w:rPr>
        <w:t>Avenida Alberto Vieira Romão, nº. 1700, Distrito Industrial, Alfenas</w:t>
      </w:r>
      <w:r w:rsidR="008650D5">
        <w:rPr>
          <w:rFonts w:ascii="Cambria" w:hAnsi="Cambria" w:cs="Arial"/>
        </w:rPr>
        <w:t xml:space="preserve">/MG, CEP </w:t>
      </w:r>
      <w:r w:rsidR="00F82090">
        <w:rPr>
          <w:rFonts w:ascii="Cambria" w:hAnsi="Cambria" w:cs="Arial"/>
        </w:rPr>
        <w:t>37.165-516</w:t>
      </w:r>
      <w:r w:rsidRPr="00B31D6B">
        <w:rPr>
          <w:rFonts w:ascii="Cambria" w:hAnsi="Cambria" w:cs="Arial"/>
        </w:rPr>
        <w:t xml:space="preserve">, cujo CNPJ é </w:t>
      </w:r>
      <w:r w:rsidR="00D84AB7">
        <w:rPr>
          <w:rFonts w:ascii="Cambria" w:hAnsi="Cambria" w:cs="Arial"/>
        </w:rPr>
        <w:t>05.194.502/0001-14</w:t>
      </w:r>
      <w:r w:rsidRPr="00B31D6B">
        <w:rPr>
          <w:rFonts w:ascii="Cambria" w:hAnsi="Cambria" w:cs="Arial"/>
        </w:rPr>
        <w:t xml:space="preserve">, neste ato representado por </w:t>
      </w:r>
      <w:r w:rsidR="00F82090">
        <w:rPr>
          <w:rFonts w:ascii="Cambria" w:hAnsi="Cambria" w:cs="Arial"/>
        </w:rPr>
        <w:t>Natanael Pereira</w:t>
      </w:r>
      <w:r w:rsidR="001020CF">
        <w:rPr>
          <w:rFonts w:ascii="Cambria" w:hAnsi="Cambria" w:cs="Arial"/>
        </w:rPr>
        <w:t xml:space="preserve">, inscrito no CPF/MF sob o nº. </w:t>
      </w:r>
      <w:r w:rsidR="00F82090">
        <w:rPr>
          <w:rFonts w:ascii="Cambria" w:hAnsi="Cambria" w:cs="Arial"/>
        </w:rPr>
        <w:t>502.690.546-34</w:t>
      </w:r>
      <w:r w:rsidRPr="00B31D6B">
        <w:rPr>
          <w:rFonts w:ascii="Cambria" w:hAnsi="Cambria" w:cs="Arial"/>
        </w:rPr>
        <w:t>, conforme quadro abaixo:</w:t>
      </w:r>
    </w:p>
    <w:p w14:paraId="20149FD3" w14:textId="77777777" w:rsidR="00451796" w:rsidRPr="00B31D6B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51"/>
        <w:gridCol w:w="778"/>
        <w:gridCol w:w="946"/>
        <w:gridCol w:w="870"/>
        <w:gridCol w:w="801"/>
        <w:gridCol w:w="866"/>
        <w:gridCol w:w="801"/>
        <w:gridCol w:w="934"/>
      </w:tblGrid>
      <w:tr w:rsidR="004F75AB" w:rsidRPr="00452888" w14:paraId="0580B61D" w14:textId="77777777" w:rsidTr="004F75AB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2CFFFDAE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  <w:hideMark/>
          </w:tcPr>
          <w:p w14:paraId="73B3CDCE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996" w:type="dxa"/>
            <w:gridSpan w:val="7"/>
            <w:shd w:val="clear" w:color="auto" w:fill="auto"/>
            <w:vAlign w:val="center"/>
            <w:hideMark/>
          </w:tcPr>
          <w:p w14:paraId="53EB509F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4F75AB" w:rsidRPr="00452888" w14:paraId="74599CD6" w14:textId="77777777" w:rsidTr="004F75AB">
        <w:trPr>
          <w:trHeight w:val="20"/>
        </w:trPr>
        <w:tc>
          <w:tcPr>
            <w:tcW w:w="527" w:type="dxa"/>
            <w:vMerge/>
            <w:vAlign w:val="center"/>
            <w:hideMark/>
          </w:tcPr>
          <w:p w14:paraId="35D71B8D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14:paraId="1848BFB9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594" w:type="dxa"/>
            <w:gridSpan w:val="3"/>
            <w:shd w:val="clear" w:color="000000" w:fill="BFBFBF"/>
            <w:vAlign w:val="center"/>
            <w:hideMark/>
          </w:tcPr>
          <w:p w14:paraId="39EFEB5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67" w:type="dxa"/>
            <w:gridSpan w:val="2"/>
            <w:shd w:val="clear" w:color="000000" w:fill="BFBFBF"/>
            <w:vAlign w:val="center"/>
            <w:hideMark/>
          </w:tcPr>
          <w:p w14:paraId="4423EE86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735" w:type="dxa"/>
            <w:gridSpan w:val="2"/>
            <w:shd w:val="clear" w:color="000000" w:fill="BFBFBF"/>
            <w:vAlign w:val="center"/>
            <w:hideMark/>
          </w:tcPr>
          <w:p w14:paraId="318271EF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4F75AB" w:rsidRPr="004F75AB" w14:paraId="484DC845" w14:textId="77777777" w:rsidTr="004F75AB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2CE2B4BB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14:paraId="103C2E7F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6FD07954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2BCB7863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70" w:type="dxa"/>
            <w:vMerge w:val="restart"/>
            <w:shd w:val="clear" w:color="000000" w:fill="D9D9D9"/>
            <w:vAlign w:val="center"/>
            <w:hideMark/>
          </w:tcPr>
          <w:p w14:paraId="37D644F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01" w:type="dxa"/>
            <w:vMerge w:val="restart"/>
            <w:shd w:val="clear" w:color="000000" w:fill="D9D9D9"/>
            <w:vAlign w:val="center"/>
            <w:hideMark/>
          </w:tcPr>
          <w:p w14:paraId="3220406C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866" w:type="dxa"/>
            <w:vMerge w:val="restart"/>
            <w:shd w:val="clear" w:color="000000" w:fill="D9D9D9"/>
            <w:vAlign w:val="center"/>
            <w:hideMark/>
          </w:tcPr>
          <w:p w14:paraId="1A544BC6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01" w:type="dxa"/>
            <w:vMerge w:val="restart"/>
            <w:shd w:val="clear" w:color="000000" w:fill="D9D9D9"/>
            <w:vAlign w:val="center"/>
            <w:hideMark/>
          </w:tcPr>
          <w:p w14:paraId="2EEBAAEB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934" w:type="dxa"/>
            <w:vMerge w:val="restart"/>
            <w:shd w:val="clear" w:color="000000" w:fill="D9D9D9"/>
            <w:vAlign w:val="center"/>
            <w:hideMark/>
          </w:tcPr>
          <w:p w14:paraId="2208D7DC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4F75AB" w:rsidRPr="00452888" w14:paraId="3554AE9F" w14:textId="77777777" w:rsidTr="004F75AB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6B08E57E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14:paraId="4F58F83A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2337A0D0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82119F0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14:paraId="18ECE5E1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533BAC79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33547F97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4BAF9155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14:paraId="29673CAD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4F75AB" w:rsidRPr="004F75AB" w14:paraId="01B7EDD1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CBBDB36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1DD56B1B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Bromoprida 10mg ampola de 2 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F7A9F09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33E6E6" w14:textId="255EFF1A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1,170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682DDC18" w14:textId="2227B854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1.170,00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42617D0E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310750FD" w14:textId="25A680BE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1.170,00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0BAB7A8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6244EEC" w14:textId="13AC0718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5.850,00</w:t>
            </w:r>
          </w:p>
        </w:tc>
      </w:tr>
      <w:tr w:rsidR="004F75AB" w:rsidRPr="004F75AB" w14:paraId="06C06FDE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082B2F3A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7BBF7A0E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cloreto de potássio 10% ampola 10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BA6A3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988BD88" w14:textId="0A478B0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0,250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4DDBDB41" w14:textId="0FD3917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6772615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23FCA276" w14:textId="4629F105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2DF15080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DAA0ADB" w14:textId="508B0DFF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2.500,00</w:t>
            </w:r>
          </w:p>
        </w:tc>
      </w:tr>
      <w:tr w:rsidR="004F75AB" w:rsidRPr="004F75AB" w14:paraId="131DCDC6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F9048CE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7D45C04D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dimeticona 75 mg frs 15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7EF5663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3D1FD17" w14:textId="2A2E1ADB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1,750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19E72F34" w14:textId="4CE48CF9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550A9B2E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12F023E2" w14:textId="7DCB7E3C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175,00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219D455C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297A8D00" w14:textId="3764D2F0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875,00</w:t>
            </w:r>
          </w:p>
        </w:tc>
      </w:tr>
      <w:tr w:rsidR="004F75AB" w:rsidRPr="004F75AB" w14:paraId="74453E51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96BEEA8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3CAF990B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Tenoxicam 40 mg ampola 2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8F1822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79DA1BA" w14:textId="56BD9BD0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9,938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45521A16" w14:textId="3CD2945A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59.628,00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79BF9CB3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46EB6FA5" w14:textId="7F2261AF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59.628,00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5126E714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5C7BD7CF" w14:textId="5A6DA53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298.140,00</w:t>
            </w:r>
          </w:p>
        </w:tc>
      </w:tr>
      <w:tr w:rsidR="004F75AB" w:rsidRPr="004F75AB" w14:paraId="4DD02CEE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1F748D7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556387DC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AMIODARONA 200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65FF243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9DDF166" w14:textId="2363383A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0,598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22828F9A" w14:textId="7381D00D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11.960,00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5CBCD9B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769B71CC" w14:textId="5B6059F3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11.960,00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44698BAE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202073B2" w14:textId="14EDF41D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59.800,00</w:t>
            </w:r>
          </w:p>
        </w:tc>
      </w:tr>
      <w:tr w:rsidR="004F75AB" w:rsidRPr="004F75AB" w14:paraId="71690521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46587489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4A7B8FF3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AMOXICILINA + CLAVULANATO DE POTÁSSIO SUSPENSÃO ORAL 50 MG + 12,5 MG/ML - FRASCO COM 75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14E318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CDB545" w14:textId="22CAF490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11,100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01AFF3A2" w14:textId="4208062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33.300,00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56224B7B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7CB683AA" w14:textId="6EF42F7C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33.300,00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0E5FEFB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2739E28" w14:textId="1750BCA8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166.500,00</w:t>
            </w:r>
          </w:p>
        </w:tc>
      </w:tr>
      <w:tr w:rsidR="004F75AB" w:rsidRPr="004F75AB" w14:paraId="29192319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4F6C57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2751" w:type="dxa"/>
            <w:shd w:val="clear" w:color="000000" w:fill="FFFFFF"/>
            <w:noWrap/>
            <w:vAlign w:val="center"/>
            <w:hideMark/>
          </w:tcPr>
          <w:p w14:paraId="6A013CAA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BUPROPIONA 150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8143F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6182389" w14:textId="477FC44D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0,451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3717EDFA" w14:textId="4260538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18.040,00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2C1153EF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2FCDAF92" w14:textId="7F5697E0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18.040,00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0D55347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2E8791A" w14:textId="760E1B4E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90.200,00</w:t>
            </w:r>
          </w:p>
        </w:tc>
      </w:tr>
      <w:tr w:rsidR="004F75AB" w:rsidRPr="004F75AB" w14:paraId="3CCB64C5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464392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53F109B8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DINITRATO DE ISOSSORBIDA COMPRIMIDO SUBLINGUAL 5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0ECA68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F77ED92" w14:textId="5C8C4AD8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0,246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06E1C233" w14:textId="231140B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1.230,00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1DE3CEEF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47866756" w14:textId="6DDD1D35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1.230,00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A373725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034B454F" w14:textId="2C8585E1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6.150,00</w:t>
            </w:r>
          </w:p>
        </w:tc>
      </w:tr>
      <w:tr w:rsidR="004F75AB" w:rsidRPr="004F75AB" w14:paraId="413036A1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1E5AB03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42DE7CF0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DIPIRONA COMPRIMIDO DE 500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6BDDC6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27E5ED" w14:textId="22BD7170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0,117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72AC6546" w14:textId="4A3EA0B1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8.775,00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5AB626C4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18FA07A5" w14:textId="3A1C3D88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8.775,00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4B0401A2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375000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73BF82A2" w14:textId="615BF3D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43.875,00</w:t>
            </w:r>
          </w:p>
        </w:tc>
      </w:tr>
      <w:tr w:rsidR="004F75AB" w:rsidRPr="004F75AB" w14:paraId="335C3F2A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71ACA57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0753A98F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GLIMEPIRIDA COMPRIMIDO 2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F9C8DC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3F78899" w14:textId="4FE4FD1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0,070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6A401ABD" w14:textId="6629845D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384EB79A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3EE65AD9" w14:textId="47F606F5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263810BF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4FE74807" w14:textId="76FE756B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17.500,00</w:t>
            </w:r>
          </w:p>
        </w:tc>
      </w:tr>
      <w:tr w:rsidR="004F75AB" w:rsidRPr="004F75AB" w14:paraId="4C153F8F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4EFF69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34D2D704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OMEPRAZOL CÁPSULA 20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8F9317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A0A9CA3" w14:textId="5805F944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0,069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04281DC4" w14:textId="2EF13616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13.800,00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120AA81F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3DE05E6A" w14:textId="0D3FF148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13.800,00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6392E857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5E837A9" w14:textId="5BE3A8EF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69.000,00</w:t>
            </w:r>
          </w:p>
        </w:tc>
      </w:tr>
      <w:tr w:rsidR="004F75AB" w:rsidRPr="004F75AB" w14:paraId="15EE6664" w14:textId="77777777" w:rsidTr="004F75AB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14:paraId="663435E0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7C03C5E9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TOPIRAMATO 100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7CC7F4B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3C3FA1" w14:textId="48049C5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0,328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1161E619" w14:textId="22DC5042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6.560,00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73C5020E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67ECBD08" w14:textId="078AA7FB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6.560,00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001CD61E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6D4EFA30" w14:textId="5904B694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32.800,00</w:t>
            </w:r>
          </w:p>
        </w:tc>
      </w:tr>
      <w:tr w:rsidR="004F75AB" w:rsidRPr="004F75AB" w14:paraId="7C9B7D3A" w14:textId="77777777" w:rsidTr="004F75AB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5DABF13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2751" w:type="dxa"/>
            <w:shd w:val="clear" w:color="000000" w:fill="FFFFFF"/>
            <w:vAlign w:val="center"/>
            <w:hideMark/>
          </w:tcPr>
          <w:p w14:paraId="63E1374F" w14:textId="77777777" w:rsidR="004F75AB" w:rsidRPr="00452888" w:rsidRDefault="004F75AB" w:rsidP="00452888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DILTIAZEN 30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213B1D5" w14:textId="77777777" w:rsidR="004F75AB" w:rsidRPr="00452888" w:rsidRDefault="004F75AB" w:rsidP="00452888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9A13F1" w14:textId="55D85BDF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0,164</w:t>
            </w:r>
          </w:p>
        </w:tc>
        <w:tc>
          <w:tcPr>
            <w:tcW w:w="870" w:type="dxa"/>
            <w:shd w:val="clear" w:color="000000" w:fill="FFFFFF"/>
            <w:vAlign w:val="center"/>
            <w:hideMark/>
          </w:tcPr>
          <w:p w14:paraId="29FBDD0B" w14:textId="62F14389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820,00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3E5BB654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5F6E8B5B" w14:textId="3652818D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820,00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14:paraId="2EE50FE8" w14:textId="77777777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249FF5B3" w14:textId="4EDC046F" w:rsidR="004F75AB" w:rsidRPr="00452888" w:rsidRDefault="004F75AB" w:rsidP="004F75AB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452888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4.100,00</w:t>
            </w:r>
          </w:p>
        </w:tc>
      </w:tr>
    </w:tbl>
    <w:p w14:paraId="20149FF6" w14:textId="77777777" w:rsidR="00451796" w:rsidRPr="00B31D6B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01 </w:t>
      </w:r>
      <w:r w:rsidRPr="00B31D6B">
        <w:rPr>
          <w:rFonts w:ascii="Cambria" w:hAnsi="Cambria" w:cs="Arial"/>
          <w:b/>
        </w:rPr>
        <w:noBreakHyphen/>
        <w:t xml:space="preserve"> DO OBJETO:</w:t>
      </w:r>
    </w:p>
    <w:p w14:paraId="20149FF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F9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31D6B">
        <w:rPr>
          <w:rFonts w:ascii="Cambria" w:hAnsi="Cambria" w:cs="Verdana"/>
        </w:rPr>
        <w:t xml:space="preserve">I </w:t>
      </w:r>
      <w:r w:rsidRPr="00B31D6B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B31D6B">
        <w:rPr>
          <w:rFonts w:ascii="Cambria" w:hAnsi="Cambria" w:cs="Verdana"/>
        </w:rPr>
        <w:t>do quadro acima</w:t>
      </w:r>
      <w:r w:rsidRPr="00B31D6B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B31D6B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02 </w:t>
      </w:r>
      <w:r w:rsidRPr="00B31D6B">
        <w:rPr>
          <w:rFonts w:ascii="Cambria" w:hAnsi="Cambria" w:cs="Arial"/>
          <w:b/>
        </w:rPr>
        <w:noBreakHyphen/>
        <w:t xml:space="preserve"> DA VALIDADE DO REGISTRO DE PREÇOS</w:t>
      </w:r>
    </w:p>
    <w:p w14:paraId="20149FFC" w14:textId="77777777" w:rsidR="00451796" w:rsidRPr="00B31D6B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20149FF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B31D6B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03 </w:t>
      </w:r>
      <w:r w:rsidRPr="00B31D6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0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B31D6B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04 </w:t>
      </w:r>
      <w:r w:rsidRPr="00B31D6B">
        <w:rPr>
          <w:rFonts w:ascii="Cambria" w:hAnsi="Cambria" w:cs="Arial"/>
          <w:b/>
        </w:rPr>
        <w:noBreakHyphen/>
        <w:t xml:space="preserve"> DO PREÇO</w:t>
      </w:r>
    </w:p>
    <w:p w14:paraId="2014A00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0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.</w:t>
      </w:r>
    </w:p>
    <w:p w14:paraId="2014A00A" w14:textId="77777777" w:rsidR="00451796" w:rsidRPr="00B31D6B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B31D6B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B31D6B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B31D6B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B31D6B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B31D6B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05 </w:t>
      </w:r>
      <w:r w:rsidRPr="00B31D6B">
        <w:rPr>
          <w:rFonts w:ascii="Cambria" w:hAnsi="Cambria" w:cs="Arial"/>
          <w:b/>
        </w:rPr>
        <w:noBreakHyphen/>
        <w:t xml:space="preserve"> DO LOCAL E PRAZO DE ENTREGA</w:t>
      </w:r>
    </w:p>
    <w:p w14:paraId="2014A010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1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B31D6B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06 </w:t>
      </w:r>
      <w:r w:rsidRPr="00B31D6B">
        <w:rPr>
          <w:rFonts w:ascii="Cambria" w:hAnsi="Cambria" w:cs="Arial"/>
          <w:b/>
        </w:rPr>
        <w:noBreakHyphen/>
        <w:t xml:space="preserve"> DO PAGAMENTO</w:t>
      </w:r>
    </w:p>
    <w:p w14:paraId="2014A016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31D6B">
        <w:rPr>
          <w:rFonts w:ascii="Cambria" w:hAnsi="Cambria" w:cs="Arial"/>
          <w:bCs/>
        </w:rPr>
        <w:t xml:space="preserve">em até 30 (trinta) dias após recebimento </w:t>
      </w:r>
      <w:r w:rsidRPr="00B31D6B">
        <w:rPr>
          <w:rFonts w:ascii="Cambria" w:hAnsi="Cambria" w:cs="Arial"/>
        </w:rPr>
        <w:t>definitivo pela unidade requisitante</w:t>
      </w:r>
      <w:r w:rsidRPr="00B31D6B">
        <w:rPr>
          <w:rFonts w:ascii="Cambria" w:hAnsi="Cambria" w:cs="Arial"/>
          <w:bCs/>
        </w:rPr>
        <w:t xml:space="preserve"> do objeto, </w:t>
      </w:r>
      <w:r w:rsidRPr="00B31D6B">
        <w:rPr>
          <w:rFonts w:ascii="Cambria" w:hAnsi="Cambria" w:cs="Arial"/>
        </w:rPr>
        <w:t>mediante apresentação da Nota Fiscal.</w:t>
      </w:r>
    </w:p>
    <w:p w14:paraId="2014A01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B31D6B" w:rsidRDefault="00451796" w:rsidP="00015411">
      <w:pPr>
        <w:pStyle w:val="Standard"/>
        <w:jc w:val="both"/>
        <w:rPr>
          <w:rFonts w:ascii="Cambria" w:hAnsi="Cambria" w:cs="Arial"/>
        </w:rPr>
      </w:pPr>
      <w:r w:rsidRPr="00B31D6B">
        <w:rPr>
          <w:rFonts w:ascii="Cambria" w:hAnsi="Cambria" w:cs="Arial"/>
        </w:rPr>
        <w:t xml:space="preserve">VIII - </w:t>
      </w:r>
      <w:r w:rsidR="00015411" w:rsidRPr="00B31D6B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B31D6B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B31D6B">
        <w:rPr>
          <w:rFonts w:ascii="Cambria" w:hAnsi="Cambria" w:cs="Arial"/>
          <w:b/>
          <w:bCs/>
        </w:rPr>
        <w:t>onde:</w:t>
      </w:r>
    </w:p>
    <w:p w14:paraId="2014A028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EM =</w:t>
      </w:r>
      <w:r w:rsidRPr="00B31D6B">
        <w:rPr>
          <w:rFonts w:ascii="Cambria" w:hAnsi="Cambria" w:cs="Arial"/>
        </w:rPr>
        <w:t xml:space="preserve"> Encargos moratórios;</w:t>
      </w:r>
    </w:p>
    <w:p w14:paraId="2014A029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VP =</w:t>
      </w:r>
      <w:r w:rsidRPr="00B31D6B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N =</w:t>
      </w:r>
      <w:r w:rsidRPr="00B31D6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I =</w:t>
      </w:r>
      <w:r w:rsidRPr="00B31D6B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B31D6B" w:rsidRDefault="00015411" w:rsidP="00015411">
      <w:pPr>
        <w:pStyle w:val="Standard"/>
        <w:jc w:val="center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I = (</w:t>
      </w:r>
      <w:r w:rsidRPr="00B31D6B">
        <w:rPr>
          <w:rFonts w:ascii="Cambria" w:hAnsi="Cambria" w:cs="Arial"/>
          <w:b/>
          <w:bCs/>
          <w:u w:val="single"/>
        </w:rPr>
        <w:t>TX / 100</w:t>
      </w:r>
      <w:r w:rsidRPr="00B31D6B">
        <w:rPr>
          <w:rFonts w:ascii="Cambria" w:hAnsi="Cambria" w:cs="Arial"/>
          <w:b/>
          <w:bCs/>
        </w:rPr>
        <w:t>)</w:t>
      </w:r>
    </w:p>
    <w:p w14:paraId="2014A02E" w14:textId="77777777" w:rsidR="00015411" w:rsidRPr="00B31D6B" w:rsidRDefault="00015411" w:rsidP="00015411">
      <w:pPr>
        <w:pStyle w:val="Standard"/>
        <w:jc w:val="center"/>
        <w:rPr>
          <w:rFonts w:ascii="Cambria" w:hAnsi="Cambria"/>
        </w:rPr>
      </w:pPr>
      <w:r w:rsidRPr="00B31D6B">
        <w:rPr>
          <w:rFonts w:ascii="Cambria" w:eastAsia="Arial" w:hAnsi="Cambria" w:cs="Arial"/>
          <w:b/>
          <w:bCs/>
        </w:rPr>
        <w:t xml:space="preserve">    </w:t>
      </w:r>
      <w:r w:rsidRPr="00B31D6B">
        <w:rPr>
          <w:rFonts w:ascii="Cambria" w:hAnsi="Cambria" w:cs="Arial"/>
          <w:b/>
          <w:bCs/>
        </w:rPr>
        <w:t>30</w:t>
      </w:r>
    </w:p>
    <w:p w14:paraId="2014A02F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</w:rPr>
      </w:pPr>
      <w:r w:rsidRPr="00B31D6B">
        <w:rPr>
          <w:rFonts w:ascii="Cambria" w:hAnsi="Cambria" w:cs="Arial"/>
          <w:b/>
          <w:bCs/>
        </w:rPr>
        <w:t xml:space="preserve">TX = </w:t>
      </w:r>
      <w:r w:rsidRPr="00B31D6B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B31D6B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07 </w:t>
      </w:r>
      <w:r w:rsidRPr="00B31D6B">
        <w:rPr>
          <w:rFonts w:ascii="Cambria" w:hAnsi="Cambria" w:cs="Arial"/>
          <w:b/>
        </w:rPr>
        <w:noBreakHyphen/>
        <w:t xml:space="preserve"> DAS CONDIÇÕES DE FORNECIMENTO</w:t>
      </w:r>
    </w:p>
    <w:p w14:paraId="2014A032" w14:textId="77777777" w:rsidR="00451796" w:rsidRPr="00B31D6B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3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</w:t>
      </w:r>
      <w:r w:rsidRPr="00B31D6B">
        <w:rPr>
          <w:rFonts w:ascii="Cambria" w:hAnsi="Cambria" w:cs="Arial"/>
        </w:rPr>
        <w:lastRenderedPageBreak/>
        <w:t>devolvida à detentora para substituição, no prazo máximo de cinco dias, independentemente da aplicação das penalidades cabíveis.</w:t>
      </w:r>
    </w:p>
    <w:p w14:paraId="2014A03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IV </w:t>
      </w:r>
      <w:r w:rsidRPr="00B31D6B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 </w:t>
      </w:r>
      <w:r w:rsidRPr="00B31D6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VI </w:t>
      </w:r>
      <w:r w:rsidRPr="00B31D6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VII </w:t>
      </w:r>
      <w:r w:rsidRPr="00B31D6B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115FF0" w:rsidRDefault="00451796">
      <w:pPr>
        <w:spacing w:line="200" w:lineRule="atLeast"/>
        <w:jc w:val="both"/>
        <w:rPr>
          <w:rFonts w:ascii="Cambria" w:hAnsi="Cambria"/>
        </w:rPr>
      </w:pPr>
      <w:r w:rsidRPr="00115FF0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115FF0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115FF0" w:rsidRDefault="008D3E63" w:rsidP="008D3E63">
      <w:pPr>
        <w:spacing w:line="200" w:lineRule="atLeast"/>
        <w:jc w:val="both"/>
        <w:rPr>
          <w:rFonts w:ascii="Cambria" w:hAnsi="Cambria"/>
        </w:rPr>
      </w:pPr>
      <w:r w:rsidRPr="00115FF0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115FF0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B31D6B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08 </w:t>
      </w:r>
      <w:r w:rsidRPr="00B31D6B">
        <w:rPr>
          <w:rFonts w:ascii="Cambria" w:hAnsi="Cambria" w:cs="Arial"/>
          <w:b/>
        </w:rPr>
        <w:noBreakHyphen/>
        <w:t xml:space="preserve"> DAS PENALIDADES</w:t>
      </w:r>
    </w:p>
    <w:p w14:paraId="2014A046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47" w14:textId="77777777" w:rsidR="00451796" w:rsidRPr="00B31D6B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B31D6B" w:rsidRDefault="00451796">
      <w:pPr>
        <w:jc w:val="both"/>
        <w:rPr>
          <w:rFonts w:ascii="Cambria" w:hAnsi="Cambria"/>
        </w:rPr>
      </w:pPr>
      <w:r w:rsidRPr="00B31D6B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A) Advertência;</w:t>
      </w:r>
    </w:p>
    <w:p w14:paraId="2014A04C" w14:textId="77777777" w:rsidR="00451796" w:rsidRPr="00B31D6B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B31D6B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B31D6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B31D6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B31D6B">
        <w:rPr>
          <w:rFonts w:ascii="Cambria" w:hAnsi="Cambria" w:cs="Arial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d) descumprimento de cláusula contratual.</w:t>
      </w:r>
    </w:p>
    <w:p w14:paraId="2014A05A" w14:textId="77777777" w:rsidR="00451796" w:rsidRPr="00B31D6B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B31D6B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- </w:t>
      </w:r>
      <w:r w:rsidRPr="00B31D6B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B31D6B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09 </w:t>
      </w:r>
      <w:r w:rsidRPr="00B31D6B">
        <w:rPr>
          <w:rFonts w:ascii="Cambria" w:hAnsi="Cambria" w:cs="Arial"/>
          <w:b/>
        </w:rPr>
        <w:noBreakHyphen/>
        <w:t xml:space="preserve"> DOS REAJUSTAMENTOS DE PREÇOS</w:t>
      </w:r>
    </w:p>
    <w:p w14:paraId="2014A062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6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10 </w:t>
      </w:r>
      <w:r w:rsidRPr="00B31D6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lastRenderedPageBreak/>
        <w:t xml:space="preserve">I </w:t>
      </w:r>
      <w:r w:rsidRPr="00B31D6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014A06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B31D6B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B31D6B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11 </w:t>
      </w:r>
      <w:r w:rsidRPr="00B31D6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B31D6B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B31D6B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 </w:t>
      </w:r>
      <w:r w:rsidRPr="00B31D6B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014A074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B </w:t>
      </w:r>
      <w:r w:rsidRPr="00B31D6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C </w:t>
      </w:r>
      <w:r w:rsidRPr="00B31D6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D </w:t>
      </w:r>
      <w:r w:rsidRPr="00B31D6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B31D6B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B31D6B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E </w:t>
      </w:r>
      <w:r w:rsidRPr="00B31D6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F </w:t>
      </w:r>
      <w:r w:rsidRPr="00B31D6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31D6B">
        <w:rPr>
          <w:rFonts w:ascii="Cambria" w:hAnsi="Cambria" w:cs="Verdana"/>
        </w:rPr>
        <w:t xml:space="preserve">G </w:t>
      </w:r>
      <w:r w:rsidRPr="00B31D6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B31D6B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B31D6B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Pelas detentoras, quando</w:t>
      </w:r>
      <w:r w:rsidRPr="00B31D6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B31D6B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B31D6B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 </w:t>
      </w:r>
      <w:r w:rsidRPr="00B31D6B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B31D6B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B31D6B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12 </w:t>
      </w:r>
      <w:r w:rsidRPr="00B31D6B">
        <w:rPr>
          <w:rFonts w:ascii="Cambria" w:hAnsi="Cambria" w:cs="Arial"/>
          <w:b/>
        </w:rPr>
        <w:noBreakHyphen/>
        <w:t xml:space="preserve"> DA AUTORIZAÇÃO PARA FORNECIMENTO</w:t>
      </w:r>
    </w:p>
    <w:p w14:paraId="2014A087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88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I</w:t>
      </w:r>
      <w:r w:rsidRPr="00B31D6B">
        <w:rPr>
          <w:rFonts w:ascii="Cambria" w:hAnsi="Cambria" w:cs="Arial"/>
          <w:b/>
        </w:rPr>
        <w:t xml:space="preserve"> </w:t>
      </w:r>
      <w:r w:rsidRPr="00B31D6B">
        <w:rPr>
          <w:rFonts w:ascii="Cambria" w:hAnsi="Cambria" w:cs="Arial"/>
          <w:b/>
        </w:rPr>
        <w:noBreakHyphen/>
      </w:r>
      <w:r w:rsidRPr="00B31D6B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13- DAS DISPOSIÇÕES FINAIS</w:t>
      </w:r>
    </w:p>
    <w:p w14:paraId="2014A08B" w14:textId="77777777" w:rsidR="00451796" w:rsidRPr="00B31D6B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2014A08C" w14:textId="77777777" w:rsidR="00451796" w:rsidRPr="00B31D6B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14.1. Integram esta Ata, 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Papagaios, </w:t>
      </w:r>
      <w:r w:rsidR="00AC201A">
        <w:rPr>
          <w:rFonts w:ascii="Cambria" w:hAnsi="Cambria" w:cs="Arial"/>
        </w:rPr>
        <w:t>13 de julho de 2020.</w:t>
      </w:r>
    </w:p>
    <w:p w14:paraId="2014A095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864A5E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864A5E">
        <w:rPr>
          <w:rFonts w:ascii="Cambria" w:hAnsi="Cambria" w:cs="Arial"/>
          <w:b/>
          <w:bCs/>
          <w:i/>
          <w:iCs/>
        </w:rPr>
        <w:t>Mário Reis Filgueiras</w:t>
      </w:r>
    </w:p>
    <w:p w14:paraId="2014A099" w14:textId="23DB375D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44C2D5C7" w:rsidR="00451796" w:rsidRPr="008650D5" w:rsidRDefault="00D66A2C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Alfalagos Ltda</w:t>
      </w:r>
    </w:p>
    <w:p w14:paraId="2014A0A0" w14:textId="55874BDE" w:rsidR="00451796" w:rsidRPr="00B31D6B" w:rsidRDefault="008650D5" w:rsidP="00E07394">
      <w:pPr>
        <w:jc w:val="center"/>
        <w:rPr>
          <w:rFonts w:ascii="Cambria" w:hAnsi="Cambria"/>
        </w:rPr>
      </w:pPr>
      <w:r>
        <w:rPr>
          <w:rFonts w:ascii="Cambria" w:hAnsi="Cambria" w:cs="Arial"/>
        </w:rPr>
        <w:t xml:space="preserve">CNPJ/MF </w:t>
      </w:r>
      <w:r w:rsidR="00D66A2C">
        <w:rPr>
          <w:rFonts w:ascii="Cambria" w:hAnsi="Cambria" w:cs="Arial"/>
        </w:rPr>
        <w:t>05.194.502/0001-14</w:t>
      </w:r>
    </w:p>
    <w:sectPr w:rsidR="00451796" w:rsidRPr="00B31D6B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E164B"/>
    <w:rsid w:val="001020CF"/>
    <w:rsid w:val="00105C5C"/>
    <w:rsid w:val="00111DDF"/>
    <w:rsid w:val="00115FF0"/>
    <w:rsid w:val="0013144E"/>
    <w:rsid w:val="00192B2D"/>
    <w:rsid w:val="001B01D2"/>
    <w:rsid w:val="001B32AC"/>
    <w:rsid w:val="001C0497"/>
    <w:rsid w:val="001C32B6"/>
    <w:rsid w:val="00216ED0"/>
    <w:rsid w:val="00220126"/>
    <w:rsid w:val="0023013A"/>
    <w:rsid w:val="00233BD9"/>
    <w:rsid w:val="0023708C"/>
    <w:rsid w:val="0029722A"/>
    <w:rsid w:val="002D58B5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51796"/>
    <w:rsid w:val="00452888"/>
    <w:rsid w:val="00484866"/>
    <w:rsid w:val="00493C30"/>
    <w:rsid w:val="004943EC"/>
    <w:rsid w:val="004B0D19"/>
    <w:rsid w:val="004F75AB"/>
    <w:rsid w:val="0051198F"/>
    <w:rsid w:val="0055052A"/>
    <w:rsid w:val="00554490"/>
    <w:rsid w:val="0055457C"/>
    <w:rsid w:val="00587E78"/>
    <w:rsid w:val="005A6461"/>
    <w:rsid w:val="0060767D"/>
    <w:rsid w:val="0062657D"/>
    <w:rsid w:val="00634F35"/>
    <w:rsid w:val="006A3160"/>
    <w:rsid w:val="006A5940"/>
    <w:rsid w:val="006D28A3"/>
    <w:rsid w:val="00701633"/>
    <w:rsid w:val="00722F7D"/>
    <w:rsid w:val="00752333"/>
    <w:rsid w:val="00757C78"/>
    <w:rsid w:val="00772D68"/>
    <w:rsid w:val="007C349B"/>
    <w:rsid w:val="007D0A78"/>
    <w:rsid w:val="0080413C"/>
    <w:rsid w:val="00810153"/>
    <w:rsid w:val="008148CF"/>
    <w:rsid w:val="00851576"/>
    <w:rsid w:val="00855718"/>
    <w:rsid w:val="00864A5E"/>
    <w:rsid w:val="008650D5"/>
    <w:rsid w:val="00881A62"/>
    <w:rsid w:val="0089188E"/>
    <w:rsid w:val="008D3E63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1649F"/>
    <w:rsid w:val="00A76724"/>
    <w:rsid w:val="00AC201A"/>
    <w:rsid w:val="00AF0743"/>
    <w:rsid w:val="00B156E6"/>
    <w:rsid w:val="00B1634D"/>
    <w:rsid w:val="00B31D6B"/>
    <w:rsid w:val="00B616CE"/>
    <w:rsid w:val="00B65F89"/>
    <w:rsid w:val="00B83B6D"/>
    <w:rsid w:val="00BB0452"/>
    <w:rsid w:val="00BC60A8"/>
    <w:rsid w:val="00BE2615"/>
    <w:rsid w:val="00C1172D"/>
    <w:rsid w:val="00C3654C"/>
    <w:rsid w:val="00C414F6"/>
    <w:rsid w:val="00C63FC4"/>
    <w:rsid w:val="00CB04D8"/>
    <w:rsid w:val="00CE3768"/>
    <w:rsid w:val="00CF1FF5"/>
    <w:rsid w:val="00D564F0"/>
    <w:rsid w:val="00D66A2C"/>
    <w:rsid w:val="00D722EE"/>
    <w:rsid w:val="00D84AB7"/>
    <w:rsid w:val="00DA072F"/>
    <w:rsid w:val="00E07394"/>
    <w:rsid w:val="00E10024"/>
    <w:rsid w:val="00E562ED"/>
    <w:rsid w:val="00E8174A"/>
    <w:rsid w:val="00EF50F7"/>
    <w:rsid w:val="00EF6ABC"/>
    <w:rsid w:val="00F16244"/>
    <w:rsid w:val="00F60C40"/>
    <w:rsid w:val="00F64277"/>
    <w:rsid w:val="00F66135"/>
    <w:rsid w:val="00F77303"/>
    <w:rsid w:val="00F81F61"/>
    <w:rsid w:val="00F82090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2280</Words>
  <Characters>12318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14569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2020-07-20T17:59:00Z</dcterms:created>
  <dcterms:modified xsi:type="dcterms:W3CDTF">2020-07-20T18:06:00Z</dcterms:modified>
</cp:coreProperties>
</file>