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14EA9E08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>Mário Reis Filgueiras</w:t>
      </w:r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0368C">
        <w:rPr>
          <w:rFonts w:ascii="Cambria" w:hAnsi="Cambria" w:cs="Arial"/>
          <w:b/>
          <w:bCs/>
        </w:rPr>
        <w:t>ACACIA COMÉRCIO DE MEDICAMENTOS EIRELI</w:t>
      </w:r>
      <w:r w:rsidRPr="002F5FDC">
        <w:rPr>
          <w:rFonts w:ascii="Cambria" w:hAnsi="Cambria" w:cs="Arial"/>
        </w:rPr>
        <w:t xml:space="preserve">, localizado na </w:t>
      </w:r>
      <w:r w:rsidR="00F0368C">
        <w:rPr>
          <w:rFonts w:ascii="Cambria" w:hAnsi="Cambria" w:cs="Arial"/>
        </w:rPr>
        <w:t>Avenida Princesa do Sul, nº. 3303, bairro Jardim Andere, Varginha/MG, CEP 37.062-180</w:t>
      </w:r>
      <w:r w:rsidRPr="002F5FDC">
        <w:rPr>
          <w:rFonts w:ascii="Cambria" w:hAnsi="Cambria" w:cs="Arial"/>
        </w:rPr>
        <w:t xml:space="preserve">, cujo CNPJ é </w:t>
      </w:r>
      <w:r w:rsidR="00F0368C">
        <w:rPr>
          <w:rFonts w:ascii="Cambria" w:hAnsi="Cambria" w:cs="Arial"/>
        </w:rPr>
        <w:t>03.945.035/0001-91</w:t>
      </w:r>
      <w:r w:rsidRPr="002F5FDC">
        <w:rPr>
          <w:rFonts w:ascii="Cambria" w:hAnsi="Cambria" w:cs="Arial"/>
        </w:rPr>
        <w:t xml:space="preserve">, neste ato representado por </w:t>
      </w:r>
      <w:r w:rsidR="00F0368C">
        <w:rPr>
          <w:rFonts w:ascii="Cambria" w:hAnsi="Cambria" w:cs="Arial"/>
        </w:rPr>
        <w:t>José Maria Nogueira</w:t>
      </w:r>
      <w:r w:rsidR="009E51B3" w:rsidRPr="002F5FDC">
        <w:rPr>
          <w:rFonts w:ascii="Cambria" w:hAnsi="Cambria" w:cs="Arial"/>
        </w:rPr>
        <w:t xml:space="preserve">, inscrito no CPF/MF sob o nº. </w:t>
      </w:r>
      <w:r w:rsidR="00F0368C">
        <w:rPr>
          <w:rFonts w:ascii="Cambria" w:hAnsi="Cambria" w:cs="Arial"/>
        </w:rPr>
        <w:t>171.445.586-68</w:t>
      </w:r>
      <w:r w:rsidRPr="002F5FDC">
        <w:rPr>
          <w:rFonts w:ascii="Cambria" w:hAnsi="Cambria" w:cs="Arial"/>
        </w:rPr>
        <w:t>, conforme quadro abaixo:</w:t>
      </w:r>
    </w:p>
    <w:p w14:paraId="20149FD3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74"/>
        <w:gridCol w:w="867"/>
        <w:gridCol w:w="946"/>
        <w:gridCol w:w="1087"/>
        <w:gridCol w:w="957"/>
        <w:gridCol w:w="1070"/>
        <w:gridCol w:w="957"/>
        <w:gridCol w:w="1078"/>
      </w:tblGrid>
      <w:tr w:rsidR="00AD595C" w:rsidRPr="00AD595C" w14:paraId="7BB6B5B5" w14:textId="77777777" w:rsidTr="00AD595C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3590D8A8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  <w:hideMark/>
          </w:tcPr>
          <w:p w14:paraId="10D478E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62" w:type="dxa"/>
            <w:gridSpan w:val="7"/>
            <w:shd w:val="clear" w:color="auto" w:fill="auto"/>
            <w:vAlign w:val="center"/>
            <w:hideMark/>
          </w:tcPr>
          <w:p w14:paraId="422E0D0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AD595C" w:rsidRPr="00AD595C" w14:paraId="2AC6BAA1" w14:textId="77777777" w:rsidTr="00AD595C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2B65DDB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7DF84E3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00" w:type="dxa"/>
            <w:gridSpan w:val="3"/>
            <w:shd w:val="clear" w:color="000000" w:fill="BFBFBF"/>
            <w:vAlign w:val="center"/>
            <w:hideMark/>
          </w:tcPr>
          <w:p w14:paraId="39DE44F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27" w:type="dxa"/>
            <w:gridSpan w:val="2"/>
            <w:shd w:val="clear" w:color="000000" w:fill="BFBFBF"/>
            <w:vAlign w:val="center"/>
            <w:hideMark/>
          </w:tcPr>
          <w:p w14:paraId="1F078FD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35" w:type="dxa"/>
            <w:gridSpan w:val="2"/>
            <w:shd w:val="clear" w:color="000000" w:fill="BFBFBF"/>
            <w:vAlign w:val="center"/>
            <w:hideMark/>
          </w:tcPr>
          <w:p w14:paraId="00251C9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AD595C" w:rsidRPr="00AD595C" w14:paraId="3EC97D91" w14:textId="77777777" w:rsidTr="00AD595C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24F269F0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02D6EDF0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 w:val="restart"/>
            <w:shd w:val="clear" w:color="000000" w:fill="D9D9D9"/>
            <w:vAlign w:val="center"/>
            <w:hideMark/>
          </w:tcPr>
          <w:p w14:paraId="0A72CA3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70C3372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0C28C2D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12C73BE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70" w:type="dxa"/>
            <w:vMerge w:val="restart"/>
            <w:shd w:val="clear" w:color="000000" w:fill="D9D9D9"/>
            <w:vAlign w:val="center"/>
            <w:hideMark/>
          </w:tcPr>
          <w:p w14:paraId="00529EB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7C9F54A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077F6EC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AD595C" w:rsidRPr="00AD595C" w14:paraId="30CCA570" w14:textId="77777777" w:rsidTr="00AD595C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52E30322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14:paraId="69FC18E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755135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5D2CE62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3447C23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555B323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14:paraId="26A155B9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16625E78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56CEE747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AD595C" w:rsidRPr="00AD595C" w14:paraId="5F82755E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5F3963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5CD6EF0F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agua bi-destilada 5 ml para injeção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C9DF0E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230DC8A" w14:textId="6D124F4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0,235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7895A32" w14:textId="153FAF3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B56159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0882623" w14:textId="5BDF990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22C018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D4378B3" w14:textId="3E231198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23.500,00</w:t>
            </w:r>
          </w:p>
        </w:tc>
      </w:tr>
      <w:tr w:rsidR="00AD595C" w:rsidRPr="00AD595C" w14:paraId="051B1774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ADD877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FA2C4CA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benzilpenicilina procaína + benzilpenicilina potássica suspensão injetável 300.000 UI + 100.000 UI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26423B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BB1560" w14:textId="19E84A8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5,400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22FBAF2" w14:textId="15DA225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C23C32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302CF4A" w14:textId="559FE04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DD72A1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27696E3" w14:textId="444D00D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13.500,00</w:t>
            </w:r>
          </w:p>
        </w:tc>
      </w:tr>
      <w:tr w:rsidR="00AD595C" w:rsidRPr="00AD595C" w14:paraId="24681BE8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B5F6A1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6761A53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bicarbonato de sódio solução injetável 8,4 %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BDCA28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A537CEA" w14:textId="37B8E5B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0,686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FEC0A7B" w14:textId="758DBFA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343,00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D5AD29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04EF19B" w14:textId="098AAE5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343,00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F97AAF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8868F8A" w14:textId="5F7576C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1.715,00</w:t>
            </w:r>
          </w:p>
        </w:tc>
      </w:tr>
      <w:tr w:rsidR="00AD595C" w:rsidRPr="00AD595C" w14:paraId="3BBC570F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035E0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13C49EE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dipirona 500 mg/ml ampola 2 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0ECF93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209C73" w14:textId="325BDB3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0,651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41EC4D8" w14:textId="4BCF8B6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32.550,00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B72368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7A2013A" w14:textId="751D7AE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32.550,00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D15EC6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D1B1F8E" w14:textId="5A61EAB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162.750,00</w:t>
            </w:r>
          </w:p>
        </w:tc>
      </w:tr>
      <w:tr w:rsidR="00AD595C" w:rsidRPr="00AD595C" w14:paraId="7ECC5CC6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364B0D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8E11282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soro fisiológico 0,9% frasco de  250 ml uso intravenoso sistema fechado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D8FB60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D4627B8" w14:textId="42A5B55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2,140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76E9224" w14:textId="69E344B8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64.200,00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7E92FD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7DC3C5F" w14:textId="2526015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64.200,00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704BB0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B874C44" w14:textId="4A9918B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321.000,00</w:t>
            </w:r>
          </w:p>
        </w:tc>
      </w:tr>
      <w:tr w:rsidR="00AD595C" w:rsidRPr="00AD595C" w14:paraId="72CD0AA9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1100D5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5FDCB4B8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soro glicofisiologico 500 ml  uso intravenoso sistema fechado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10DE93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DB79C6B" w14:textId="736968B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2,980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7F8A7BD" w14:textId="697577A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14.900,00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947C2A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103FF21" w14:textId="75F9067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14.900,00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15F42C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E9158BC" w14:textId="6778E19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74.500,00</w:t>
            </w:r>
          </w:p>
        </w:tc>
      </w:tr>
      <w:tr w:rsidR="00AD595C" w:rsidRPr="00AD595C" w14:paraId="4E2DC285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1EE71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F93196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soro glicosado 5% frasco de 250 ml  uso intravenoso sistema fechado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942F815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343224" w14:textId="434471F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2,470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2747A39" w14:textId="07D0906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12.350,00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981D32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48EF935" w14:textId="1D22D51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12.350,00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BFB1EF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BE0238D" w14:textId="317C683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61.750,00</w:t>
            </w:r>
          </w:p>
        </w:tc>
      </w:tr>
      <w:tr w:rsidR="00AD595C" w:rsidRPr="00AD595C" w14:paraId="3DA09577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C8C511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3E0ED078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soro glicosado 5% frasco de 500 ml   uso intravenoso sistema fechado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59605685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E41EBB" w14:textId="3AAFEBD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2,880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D7BD3C9" w14:textId="7264A03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278966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72F5CE4" w14:textId="204CF6A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F0B5E6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230C15A" w14:textId="30D9D03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72.000,00</w:t>
            </w:r>
          </w:p>
        </w:tc>
      </w:tr>
      <w:tr w:rsidR="00AD595C" w:rsidRPr="00AD595C" w14:paraId="478D9885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492D14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79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F731225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sulfato de magnésio solução injetável 10 %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C8BD34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345F32" w14:textId="621AD0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0,591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334E14C" w14:textId="091C611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177,30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EB3FC2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9DDFC79" w14:textId="28E6F2C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177,30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42B9BB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8020C62" w14:textId="6D06AA1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886,50</w:t>
            </w:r>
          </w:p>
        </w:tc>
      </w:tr>
      <w:tr w:rsidR="00AD595C" w:rsidRPr="00AD595C" w14:paraId="5E323ED7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E21086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744C01F9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Tenoxicam 20 mg ampola 2 ml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2F4B44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0B3F2C3" w14:textId="17E82C3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8,040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274F1D1" w14:textId="7C0A70B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24.120,00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B6DA3A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82B6D58" w14:textId="16439B8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24.120,00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50EAD9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F269E3F" w14:textId="04BE0398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120.600,00</w:t>
            </w:r>
          </w:p>
        </w:tc>
      </w:tr>
      <w:tr w:rsidR="00AD595C" w:rsidRPr="00AD595C" w14:paraId="016AB553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8A1A7D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7CB0552A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BENZILPENICILINA PROCAÍNA + BENZILPENICILINA POTÁSSICA SUSPENSÃO INJETÁVEL 300.000 UI + 100.000 UI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3C034B5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FB2AE63" w14:textId="76EAA9B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5,470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4D8F35E" w14:textId="39B7849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5.470,00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1FD2A1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4844EFD3" w14:textId="70F6F78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5.470,00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7B15D5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A5613AB" w14:textId="609C00D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27.350,00</w:t>
            </w:r>
          </w:p>
        </w:tc>
      </w:tr>
      <w:tr w:rsidR="00AD595C" w:rsidRPr="00AD595C" w14:paraId="33B9E210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5BADC6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CA59464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DICLOFENACO DE SÓDICO 50MG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73A77D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914B086" w14:textId="0E9DF52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9C4E5B6" w14:textId="3EEA5E1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1AD599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25229CE" w14:textId="0F77B24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51A8FA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7063FB4" w14:textId="58AA8EA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AD595C" w:rsidRPr="00AD595C" w14:paraId="1AD85BAC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D2251E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8AE1AAA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DIPROPIONATO DE BECLOMETASONA AEROSOL ORAL 250MCG/200 DOSES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A41A155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D70EDA" w14:textId="7AE333C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36,500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F6173ED" w14:textId="78547CF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18.250,00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8A8FD7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6101804" w14:textId="28E22CC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18.250,00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276393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C7E55F0" w14:textId="5B33330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91.250,00</w:t>
            </w:r>
          </w:p>
        </w:tc>
      </w:tr>
      <w:tr w:rsidR="00AD595C" w:rsidRPr="00AD595C" w14:paraId="21512353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9419EC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5749167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ETINILESTRADIOL + LEVONORGESTREL COMPRIMIDO 0,03 MG + 0,15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3FB124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F92349" w14:textId="64766EF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0,106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DCB53CE" w14:textId="2315434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6.678,00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C5AC6B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1868C95" w14:textId="016B147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6.678,00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1CC271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315000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0056E76" w14:textId="6BDCD5D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33.390,00</w:t>
            </w:r>
          </w:p>
        </w:tc>
      </w:tr>
      <w:tr w:rsidR="00AD595C" w:rsidRPr="00AD595C" w14:paraId="19667C3D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0C4F50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5EF7F6A3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HIDROCLOROTIAZIDA COMPRIMIDO 25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9BDABC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C74901F" w14:textId="7731A12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0,016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EC9B507" w14:textId="715CB38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4.800,00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B32971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EDC6857" w14:textId="49350F9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4.800,00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89B909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307F462" w14:textId="1FE6217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24.000,00</w:t>
            </w:r>
          </w:p>
        </w:tc>
      </w:tr>
      <w:tr w:rsidR="00AD595C" w:rsidRPr="00AD595C" w14:paraId="37BC81C4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BB8F6A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51DBD50A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IBUPROFENO GOTAS 50 MG/ ML FRASCO COM 30 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988AF1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BB1994A" w14:textId="7A490B1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7526BA6" w14:textId="76A2A38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FF888E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CA82E2E" w14:textId="184150D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B0059B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77F0531" w14:textId="7A5A521B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2.900,00</w:t>
            </w:r>
          </w:p>
        </w:tc>
      </w:tr>
      <w:tr w:rsidR="00AD595C" w:rsidRPr="00AD595C" w14:paraId="39284104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5CB02B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833D708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IBUPROFENO SUSPENSÃO 20MG/ML FRASCO COM 100ML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7CD42B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8856D81" w14:textId="664159D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3,660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1C6AD7B" w14:textId="17AD3F8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12.810,00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DFA035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B5E7779" w14:textId="5454624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12.810,00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21A322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3202C9CD" w14:textId="05C6E76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64.050,00</w:t>
            </w:r>
          </w:p>
        </w:tc>
      </w:tr>
      <w:tr w:rsidR="00AD595C" w:rsidRPr="00AD595C" w14:paraId="57304DE4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52F65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1C24BAB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LEVOTIROXINA 150 MCG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5DD989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133BEE8" w14:textId="5D888C1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0,154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92FCA42" w14:textId="086DA1D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96F291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888D68F" w14:textId="2C86E09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49C1F6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46DFBD3" w14:textId="6AFB64C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3.850,00</w:t>
            </w:r>
          </w:p>
        </w:tc>
      </w:tr>
      <w:tr w:rsidR="00AD595C" w:rsidRPr="00AD595C" w14:paraId="66CCC573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32906C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07F70B05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LEVOTIROXINA 25 MCG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B6E6DC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7700AD" w14:textId="32C3879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0,091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E61D752" w14:textId="09062F0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A8E42E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EA950C9" w14:textId="51EC5E78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08D2A0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2931873" w14:textId="7EE2036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2.275,00</w:t>
            </w:r>
          </w:p>
        </w:tc>
      </w:tr>
      <w:tr w:rsidR="00AD595C" w:rsidRPr="00AD595C" w14:paraId="416893CC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BFA8F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4BC0E910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LEVOTIROXINA 50 MCG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2B9D78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8EA2F8" w14:textId="44EBCC1B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0,091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10EFC20" w14:textId="58EC302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6EB578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D89B247" w14:textId="26A4220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6893EA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A34BBF8" w14:textId="52ABE96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2.275,00</w:t>
            </w:r>
          </w:p>
        </w:tc>
      </w:tr>
      <w:tr w:rsidR="00AD595C" w:rsidRPr="00AD595C" w14:paraId="6AAD40D6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FABEA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5708900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LEVOTIROXINA 75 MCG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9447C4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614B67" w14:textId="4A5BDCE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6964F16" w14:textId="79D2C1C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F64E05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BFEA81F" w14:textId="225DD9B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3846A2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9EA3409" w14:textId="7DB809E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3.500,00</w:t>
            </w:r>
          </w:p>
        </w:tc>
      </w:tr>
      <w:tr w:rsidR="00AD595C" w:rsidRPr="00AD595C" w14:paraId="5FDAB235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39D547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5BF3E3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MALEATO DE DEXCLORFENIRAMINA SOLUÇÃO ORAL OU XAROPE 0,4 MG/ML 120ml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4C19E2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2DD8C38" w14:textId="608CEAF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1,350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8592DD1" w14:textId="031A8E5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03F6CF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C430E01" w14:textId="2D80EC23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37CF58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BE452F4" w14:textId="17C3966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20.250,00</w:t>
            </w:r>
          </w:p>
        </w:tc>
      </w:tr>
      <w:tr w:rsidR="00AD595C" w:rsidRPr="00AD595C" w14:paraId="5DAF2EA6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F38E4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1A5BFF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MEBENDAZOL 20MG/ML SUSPENSÃO ORAL - FRASCO COM30 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EC12FF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45A8932" w14:textId="3932D8C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04E3B46" w14:textId="42707FD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444CCD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E740B5C" w14:textId="0523DF0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4E4906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F8594CA" w14:textId="7B8E239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5.800,00</w:t>
            </w:r>
          </w:p>
        </w:tc>
      </w:tr>
      <w:tr w:rsidR="00AD595C" w:rsidRPr="00AD595C" w14:paraId="06F8F087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49D829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227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49A72D4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METRONIDAZOL SUSPENSÃO ORAL 40MG/ML FRASCO COM 100 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2D81AC0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B16634" w14:textId="7969F01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6,660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AAAB4AD" w14:textId="24E81B8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2.664,00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1E23E3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2F7AB1DB" w14:textId="36FE3DE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2.664,00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105F68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CCF55F6" w14:textId="5A5FC07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13.320,00</w:t>
            </w:r>
          </w:p>
        </w:tc>
      </w:tr>
      <w:tr w:rsidR="00AD595C" w:rsidRPr="00AD595C" w14:paraId="0794E057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7301BC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BA54AC6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MONONITRATO DE ISOSSORBIDA COMPRIMIDO 40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F32665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B8D24B2" w14:textId="4EA2C82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0C59BB5" w14:textId="67E3B8D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7F3167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3B1B76A" w14:textId="12FEBB4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3D616D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7369B21" w14:textId="74500F3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29.400,00</w:t>
            </w:r>
          </w:p>
        </w:tc>
      </w:tr>
      <w:tr w:rsidR="00AD595C" w:rsidRPr="00AD595C" w14:paraId="2D257B6B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56F2F3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4573210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NISTATINA SUSPENSÃO ORAL 100.000 UI/ML 50ML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CC5FCE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2840615" w14:textId="234AD78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3,700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DEA174B" w14:textId="36ACFEB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88C4C8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79617F75" w14:textId="2810FAD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C639B39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446ACF5" w14:textId="39E96EC1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3.700,00</w:t>
            </w:r>
          </w:p>
        </w:tc>
      </w:tr>
      <w:tr w:rsidR="00AD595C" w:rsidRPr="00AD595C" w14:paraId="5F0C9500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FC8B7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0802F86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NITRATO DE MICONAZOL 2% CREME VAGINAL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0ABFDD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364354" w14:textId="0A08949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5,140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9C1AABB" w14:textId="0734000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2.570,00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5BFB12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5FB4016" w14:textId="725DCC6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2.570,00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2D68AE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B9C4E09" w14:textId="195D5C5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12.850,00</w:t>
            </w:r>
          </w:p>
        </w:tc>
      </w:tr>
      <w:tr w:rsidR="00AD595C" w:rsidRPr="00AD595C" w14:paraId="5C3F011D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0BCFE2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6D6E5616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NORFLOXACINO COMPRIMIDO  400 MG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CE96DE0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228EE55" w14:textId="63DEA71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0,296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74C296A" w14:textId="6FE2FC4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FDDAEF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68ECD78" w14:textId="60B31B4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F6D38DA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C2AEF3F" w14:textId="31A9E92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14.800,00</w:t>
            </w:r>
          </w:p>
        </w:tc>
      </w:tr>
      <w:tr w:rsidR="00AD595C" w:rsidRPr="00AD595C" w14:paraId="4514CEF6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81A89D4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D26711E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OXCARBAZEPINA 600 MG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36CE635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6C5D979" w14:textId="1F82B3D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1,415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F34BAC5" w14:textId="1E982160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14.150,00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4EDD9CD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3C97D30" w14:textId="6ED32C0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14.150,00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3D4940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D4062A1" w14:textId="68497B08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70.750,00</w:t>
            </w:r>
          </w:p>
        </w:tc>
      </w:tr>
      <w:tr w:rsidR="00AD595C" w:rsidRPr="00AD595C" w14:paraId="2C230FD1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54821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7108F11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PARACETAMOL SOLUÇÃO ORAL 200 MG/ML frasco 15 ml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14D54A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EB607A0" w14:textId="6CBA327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0,770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84F675B" w14:textId="3B9D03C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93CECE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1159CB91" w14:textId="3C274DC9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3CE3252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11470AD" w14:textId="0E3420B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38.500,00</w:t>
            </w:r>
          </w:p>
        </w:tc>
      </w:tr>
      <w:tr w:rsidR="00AD595C" w:rsidRPr="00AD595C" w14:paraId="130FA579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82297C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422642E7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SAIS PARA REIDRATAÇÃO ORAL </w:t>
            </w: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PÓ PARA SOLUÇÃO ORAL (COMPOSIÇÃO POR LITRO APÓS PREPARO):  CLORETO DE SÓDIO 2,6 G (75 MMOL DE SÓDIO), GLICOSE ANIDRA  13,5 G (75 MMOL DE GLICOSE), CLORETO DE POTÁSSIO  1,5 G (20 MMOL DE POTÁSSIO E 65 MMOL DE CLORETO), CITRATO DE SÓDIO DIIDRATADO 2,9 G (10 MMOL DE CITRATO)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50E170E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3B65291" w14:textId="1735C72B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0,539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48A8B66" w14:textId="2F56A45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10.780,00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212924F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5D83BAC3" w14:textId="70838EA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10.780,00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1A0B16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CC322E6" w14:textId="20112C9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53.900,00</w:t>
            </w:r>
          </w:p>
        </w:tc>
      </w:tr>
      <w:tr w:rsidR="00AD595C" w:rsidRPr="00AD595C" w14:paraId="18F369E9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5A4BC77B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263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2830A030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SALBUTAMOL XAROPE 2 MG/ML 120 ML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6C7E177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C58369B" w14:textId="16FFCE6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1,115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F33BFA3" w14:textId="6219D3F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1.115,00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F4B963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31CDEF08" w14:textId="6B3D771E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1.115,00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457CAD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770D7823" w14:textId="63442D25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5.575,00</w:t>
            </w:r>
          </w:p>
        </w:tc>
      </w:tr>
      <w:tr w:rsidR="00AD595C" w:rsidRPr="00AD595C" w14:paraId="5F15B7FB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D32DA6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32F245B7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SULFATO FERROSO SOLUÇÃO ORAL 25 MG/ML FE2+ (GTS)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3694737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8DDB244" w14:textId="04B57FA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0,882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C0CB7C3" w14:textId="67D68674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EF2A49C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DA1B663" w14:textId="54B76F1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882,00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FDEB2E8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D8237EF" w14:textId="00967D02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4.410,00</w:t>
            </w:r>
          </w:p>
        </w:tc>
      </w:tr>
      <w:tr w:rsidR="00AD595C" w:rsidRPr="00AD595C" w14:paraId="386BFA09" w14:textId="77777777" w:rsidTr="00AD595C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F3FF026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295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32ECC516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VITAMINA D GOTAS aproximadamente 160UI por gota frasco de 10 ou 20 ml 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4051AA52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7FFD0A7" w14:textId="319A91EB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9,800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BF4475F" w14:textId="58650E4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562E3E5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6DCDC6F8" w14:textId="03BD40EA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2.940,00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A56FED3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67A9954" w14:textId="7CC47F8F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14.700,00</w:t>
            </w:r>
          </w:p>
        </w:tc>
      </w:tr>
      <w:tr w:rsidR="00AD595C" w:rsidRPr="00AD595C" w14:paraId="456EBB1A" w14:textId="77777777" w:rsidTr="00AD595C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2163FF7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299</w:t>
            </w:r>
          </w:p>
        </w:tc>
        <w:tc>
          <w:tcPr>
            <w:tcW w:w="1774" w:type="dxa"/>
            <w:shd w:val="clear" w:color="000000" w:fill="FFFFFF"/>
            <w:vAlign w:val="center"/>
            <w:hideMark/>
          </w:tcPr>
          <w:p w14:paraId="144D3E8C" w14:textId="77777777" w:rsidR="00AD595C" w:rsidRPr="00AD595C" w:rsidRDefault="00AD595C" w:rsidP="00AD595C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DILTIAZEN 60 MG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7265360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D7B5F1" w14:textId="58ABFCAD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0,257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16BA5F6" w14:textId="58CC780B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1.285,00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9CA85D1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14:paraId="097C664B" w14:textId="4DFF80CC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1.285,00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46CEF2E" w14:textId="77777777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62205BB6" w14:textId="4D30A136" w:rsidR="00AD595C" w:rsidRPr="00AD595C" w:rsidRDefault="00AD595C" w:rsidP="00AD595C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D595C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6.425,00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r w:rsidRPr="002F5FDC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 </w:t>
      </w:r>
      <w:r w:rsidRPr="002F5FDC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lastRenderedPageBreak/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r w:rsidRPr="002F5FDC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r w:rsidRPr="002F5FDC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>Mário Reis Filgueiras</w:t>
      </w:r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16F6D050" w:rsidR="00451796" w:rsidRPr="002F5FDC" w:rsidRDefault="00AD595C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Acácia Comércio de Medicamentos Eireli</w:t>
      </w:r>
    </w:p>
    <w:p w14:paraId="2014A0A0" w14:textId="665C9A41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AD595C">
        <w:rPr>
          <w:rFonts w:ascii="Cambria" w:hAnsi="Cambria" w:cs="Arial"/>
        </w:rPr>
        <w:t>03.945.035/0001-91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B7123"/>
    <w:rsid w:val="000E164B"/>
    <w:rsid w:val="001020CF"/>
    <w:rsid w:val="00105C5C"/>
    <w:rsid w:val="00111DDF"/>
    <w:rsid w:val="00115FF0"/>
    <w:rsid w:val="0013144E"/>
    <w:rsid w:val="00170485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14CC8"/>
    <w:rsid w:val="00451796"/>
    <w:rsid w:val="00452888"/>
    <w:rsid w:val="00484866"/>
    <w:rsid w:val="00493C30"/>
    <w:rsid w:val="004943EC"/>
    <w:rsid w:val="004B0616"/>
    <w:rsid w:val="004B0D19"/>
    <w:rsid w:val="004F75AB"/>
    <w:rsid w:val="00504AD6"/>
    <w:rsid w:val="0051198F"/>
    <w:rsid w:val="00512095"/>
    <w:rsid w:val="0055052A"/>
    <w:rsid w:val="00554490"/>
    <w:rsid w:val="0055457C"/>
    <w:rsid w:val="00587E78"/>
    <w:rsid w:val="005A6461"/>
    <w:rsid w:val="005B37FA"/>
    <w:rsid w:val="005D1CB4"/>
    <w:rsid w:val="005F6A8B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7C78"/>
    <w:rsid w:val="00772D68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D595C"/>
    <w:rsid w:val="00AF0743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1FF5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2697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17231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6</cp:revision>
  <cp:lastPrinted>2020-02-17T18:41:00Z</cp:lastPrinted>
  <dcterms:created xsi:type="dcterms:W3CDTF">2020-07-20T18:50:00Z</dcterms:created>
  <dcterms:modified xsi:type="dcterms:W3CDTF">2020-07-20T18:58:00Z</dcterms:modified>
</cp:coreProperties>
</file>