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60238C">
        <w:rPr>
          <w:rFonts w:ascii="Cambria" w:hAnsi="Cambria"/>
          <w:b/>
          <w:color w:val="000000"/>
          <w:szCs w:val="24"/>
        </w:rPr>
        <w:t>074/2020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60238C">
        <w:rPr>
          <w:rFonts w:ascii="Cambria" w:hAnsi="Cambria"/>
          <w:b/>
          <w:color w:val="000000"/>
          <w:szCs w:val="24"/>
        </w:rPr>
        <w:t>040/2020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746626">
        <w:rPr>
          <w:rFonts w:ascii="Cambria" w:hAnsi="Cambria"/>
          <w:color w:val="000000"/>
          <w:szCs w:val="24"/>
        </w:rPr>
        <w:t>029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60238C">
        <w:rPr>
          <w:rFonts w:ascii="Cambria" w:hAnsi="Cambria"/>
          <w:color w:val="000000"/>
          <w:szCs w:val="24"/>
        </w:rPr>
        <w:t>040/2020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60238C">
        <w:rPr>
          <w:rFonts w:ascii="Cambria" w:hAnsi="Cambria"/>
          <w:color w:val="000000"/>
          <w:szCs w:val="24"/>
        </w:rPr>
        <w:t>074/2020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022DA3">
        <w:rPr>
          <w:rFonts w:ascii="Cambria" w:hAnsi="Cambria" w:cs="Arial"/>
          <w:color w:val="000000"/>
        </w:rPr>
        <w:t xml:space="preserve">24 (vinte e quatro) dias do mês de junho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022DA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5746">
        <w:rPr>
          <w:rFonts w:ascii="Cambria" w:hAnsi="Cambria" w:cs="Arial"/>
          <w:color w:val="000000"/>
        </w:rPr>
        <w:t xml:space="preserve">Mário Reis </w:t>
      </w:r>
      <w:proofErr w:type="spellStart"/>
      <w:r w:rsidR="008D5746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60238C">
        <w:rPr>
          <w:rFonts w:ascii="Cambria" w:hAnsi="Cambria" w:cs="Arial"/>
          <w:color w:val="000000"/>
        </w:rPr>
        <w:t>040/2020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60238C">
        <w:rPr>
          <w:rFonts w:ascii="Cambria" w:hAnsi="Cambria" w:cs="Arial"/>
          <w:color w:val="000000"/>
        </w:rPr>
        <w:t>074/2020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50AB0" w:rsidRPr="00F50AB0">
        <w:rPr>
          <w:rFonts w:ascii="Cambria" w:hAnsi="Cambria" w:cs="Arial"/>
          <w:b/>
          <w:color w:val="000000"/>
        </w:rPr>
        <w:t>VANESSA ANGÉLICA TEIXEIRA GONZAGA AGUIAR 06180888665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F50AB0">
        <w:rPr>
          <w:rFonts w:ascii="Cambria" w:hAnsi="Cambria" w:cs="Arial"/>
          <w:color w:val="000000"/>
        </w:rPr>
        <w:t>Rua Pereira Guimarães, nº. 63, Loja, Centro, Mateus Leme/MG, CEP 35.670-000</w:t>
      </w:r>
      <w:r w:rsidRPr="00173E14">
        <w:rPr>
          <w:rFonts w:ascii="Cambria" w:hAnsi="Cambria" w:cs="Arial"/>
          <w:color w:val="000000"/>
        </w:rPr>
        <w:t>, cu</w:t>
      </w:r>
      <w:r w:rsidR="00F50AB0">
        <w:rPr>
          <w:rFonts w:ascii="Cambria" w:hAnsi="Cambria" w:cs="Arial"/>
          <w:color w:val="000000"/>
        </w:rPr>
        <w:t>jo CNPJ é 24.501.724/0001-87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F50AB0">
        <w:rPr>
          <w:rFonts w:ascii="Cambria" w:hAnsi="Cambria" w:cs="Arial"/>
          <w:color w:val="000000"/>
        </w:rPr>
        <w:t>Washington Luiz M Teixeira dos Santos, inscrito no CPF/MF sob o nº. 124.340.586-47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850"/>
        <w:gridCol w:w="1025"/>
        <w:gridCol w:w="992"/>
        <w:gridCol w:w="992"/>
        <w:gridCol w:w="1093"/>
        <w:gridCol w:w="1001"/>
      </w:tblGrid>
      <w:tr w:rsidR="00961925" w:rsidRPr="00F50AB0" w:rsidTr="000E427B">
        <w:tc>
          <w:tcPr>
            <w:tcW w:w="709" w:type="dxa"/>
            <w:vMerge w:val="restart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18" w:type="dxa"/>
            <w:vMerge w:val="restart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45" w:type="dxa"/>
            <w:gridSpan w:val="7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b/>
                <w:color w:val="000000"/>
                <w:sz w:val="16"/>
                <w:szCs w:val="16"/>
              </w:rPr>
              <w:t>QUANTIDADE/ VALOR</w:t>
            </w:r>
          </w:p>
        </w:tc>
      </w:tr>
      <w:tr w:rsidR="00961925" w:rsidRPr="00F50AB0" w:rsidTr="000E427B">
        <w:tc>
          <w:tcPr>
            <w:tcW w:w="709" w:type="dxa"/>
            <w:vMerge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gridSpan w:val="3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984" w:type="dxa"/>
            <w:gridSpan w:val="2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94" w:type="dxa"/>
            <w:gridSpan w:val="2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961925" w:rsidRPr="00F50AB0" w:rsidTr="000E427B">
        <w:tc>
          <w:tcPr>
            <w:tcW w:w="709" w:type="dxa"/>
            <w:vMerge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Qtde</w:t>
            </w:r>
            <w:proofErr w:type="spellEnd"/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50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Valor</w:t>
            </w:r>
          </w:p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Unitário</w:t>
            </w:r>
          </w:p>
        </w:tc>
        <w:tc>
          <w:tcPr>
            <w:tcW w:w="1025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Valor</w:t>
            </w:r>
          </w:p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Qtde</w:t>
            </w:r>
            <w:proofErr w:type="spellEnd"/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92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Valor</w:t>
            </w:r>
          </w:p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proofErr w:type="spellStart"/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Qtde</w:t>
            </w:r>
            <w:proofErr w:type="spellEnd"/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01" w:type="dxa"/>
            <w:shd w:val="clear" w:color="auto" w:fill="FFFFFF"/>
          </w:tcPr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Valor</w:t>
            </w:r>
          </w:p>
          <w:p w:rsidR="00961925" w:rsidRPr="00F50AB0" w:rsidRDefault="00961925" w:rsidP="000E427B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Total</w:t>
            </w:r>
          </w:p>
        </w:tc>
      </w:tr>
      <w:tr w:rsidR="00022DA3" w:rsidRPr="00F50AB0" w:rsidTr="002F2CAE">
        <w:tc>
          <w:tcPr>
            <w:tcW w:w="709" w:type="dxa"/>
          </w:tcPr>
          <w:p w:rsidR="00022DA3" w:rsidRPr="00F50AB0" w:rsidRDefault="00022DA3" w:rsidP="00022DA3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vAlign w:val="center"/>
          </w:tcPr>
          <w:p w:rsidR="00022DA3" w:rsidRDefault="00022DA3" w:rsidP="00022DA3">
            <w:pPr>
              <w:spacing w:after="24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82121D" w:rsidRPr="00F50AB0" w:rsidRDefault="0082121D" w:rsidP="00022DA3">
            <w:pPr>
              <w:spacing w:after="240"/>
              <w:rPr>
                <w:rFonts w:ascii="Cambria" w:hAnsi="Cambri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2.990,00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149.500,00</w:t>
            </w:r>
          </w:p>
        </w:tc>
      </w:tr>
      <w:tr w:rsidR="00022DA3" w:rsidRPr="00F50AB0" w:rsidTr="002F2CAE">
        <w:tc>
          <w:tcPr>
            <w:tcW w:w="709" w:type="dxa"/>
          </w:tcPr>
          <w:p w:rsidR="00022DA3" w:rsidRPr="00F50AB0" w:rsidRDefault="00022DA3" w:rsidP="00022DA3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vAlign w:val="center"/>
          </w:tcPr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F50AB0">
              <w:rPr>
                <w:rFonts w:ascii="Cambria" w:hAnsi="Cambria"/>
                <w:sz w:val="16"/>
                <w:szCs w:val="16"/>
              </w:rPr>
              <w:t>IMPRESSORA  MULTIFUNCIONAL</w:t>
            </w:r>
            <w:proofErr w:type="gram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Especificações: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Funções: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Impressão, cópia, digitalização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Impressão: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Velocidade de impressão a preto: Normal: Até 53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ppm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Saída da primeira página (pronta): Preto: Em apenas 7,5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seg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>- Saída da primeira página (pronta): Preto: Em apenas 7,5 seg.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Ciclo de produtividade (mensal, A4): Até 300 000 páginas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Ciclo de produtividade (mensal, A4): Até 300 000 páginas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Tecnologia de impressão: Laser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Qualidade de impressão a preto (ótimo): Até 1200 x 1200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ppp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Tecnologias de Resolução da Impressão: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ReCP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Linguagens de impressão: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PCL5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PCL6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PS3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PDF V1.7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 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Ecrã</w:t>
            </w:r>
            <w:proofErr w:type="spellEnd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Painel de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ecrã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 tátil a cores de 10,1 pol.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Processador: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Velocidade do processador: 1000 MHz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Gestão de segurança: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Servidor Web integrado: proteção com palavra-passe, navegação segura via SSL/TLS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Rede: ativar/desativar portas e funcionalidades de rede, alteração de palavra-passe da comunidade SNMPv1 e SNMPv2, SNMPv3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Autenticação (Local)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Autenticação (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Kerberos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>/SMB/LDAP)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Filtragem de endereço IP/MAC (IPv4/IPv6/MAC)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IPSec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- 802.1x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Autenticação via WEP, WPA/WPA2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Personal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>, WPA2 Enterprise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Encriptação via AES ou TKIP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Consumíveis de substituição: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Toner padrão (aprox. 30.000 rendimento) MLT-D358S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Conectividade: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Capacidade de impressão móvel: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Apple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AirPrint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, Certificado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Mopria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, aplicações móveis, Samsung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Cloud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 Print, Google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Cloud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 Print,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PrinterOn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 Print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Capacidades de rede: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Através de Ethernet 10/100/1000 Base-TX incorporada, Gigabit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Crossover de Ethernet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Autenticação via 802.1X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Capacidade sem fios: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Autenticação via WEP, WPA/WPA2, WPA Enterprise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Encriptação via AES ou TKIP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WPS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Impressão direta sem fios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NFC opcional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Conectividade, padrão: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USB 2.0 de alta velocidade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Host USB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Porta de rede Gigabit Ethernet 10/100/1000 Base-TX incorporada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Requisitos mínimos do sistema: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Windows XP (SP3) (32 bit) ou posterior, </w:t>
            </w: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>processador de 933 MHz ou superior, 128 MB de RAM, 1,5 GB de espaço no disco rígido, CD-ROM ou Internet, ligação USB ou de rede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OSX 10.5 ou posterior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Internet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Ligação USB ou de rede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- 1 GB de espaço no disco rígido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- 1 GB de RAM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Sistemas operativos compatíveis: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>- Windows: XP (32/64 bit), 2003 Server (32/64 bit), Vista (32/64 bit), 2008 server (32/64 bit), 7 (32/64 bit), 2008 Server R2, 10 (32/64 bit), 2012 Server, 2016 Server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>- MAC OS 10.5 - 10.11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 xml:space="preserve">- Linux: Red Hat Enterprise Linux (5, 6, 7), Fedora (15, 16, 17, 18, 19, 20, 21, 22),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>openSUSE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 xml:space="preserve"> (11.4, 12.1, 12.2, 12.3, 13.1, 13.2), Ubuntu (11.04, 11.10, 12.04, 12.10, 13.04, 13.10, 14.04, 14.10, 15.04, 15.10), SUSE Linux Enterprise Desktop (11, 12),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>Debian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 xml:space="preserve"> (6, 7, 8), Mint (13, 14, 15, 16, 17)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sz w:val="16"/>
                <w:szCs w:val="16"/>
                <w:lang w:val="en-US"/>
              </w:rPr>
              <w:t>- Unix: Sun Solaris 9, 10, 11 (x86, SPARC), HP-UX 11.0, 11i v1, 11i v2, 11i v3 (PA-RISC, Itanium), IBM AIX 5.1, 5.2, 5.3, 5.4, 6.1, 7.1 (PowerPC)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Memória: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Padrão: 4GB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Máxima: 4GB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Disco rígido: padrão, HDD de 320 GB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>- Espaço disponível para o utilizador: 279 GB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Manuseamento de papel: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Entrada para manuseamento do papel, padrão: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Tabuleiro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multifunções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 para 100 folhas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de entrada para 520 folhas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Alimentador automático de documentos para 100 folhas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Saída para manuseamento de papel, padrão: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Bandeja de saída para 500 folhas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Capacidade máxima de saída (folhas):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Até 500 folhas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Impressão frente e verso: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Automática (standard)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Formatos de suporte suportados: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1: A4, A5, A6, B5 (ISO), B5 (JIS), Ofício, Envelope (DL, C5, C6)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2: A4, A5, A6, B5 (ISO), B5 (JIS), Ofício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Formatos de suporte suportados: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Tabuleiro 1: Carta, Legal, Executivo, Folio, Ofício,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Statement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, Envelope (n.º 9, n.º 10,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Monarch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), Tabuleiro 2: Carta, Legal, Executivo, Folio, Ofício,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Statement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 xml:space="preserve">Tamanhos de </w:t>
            </w:r>
            <w:proofErr w:type="spellStart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multimédia</w:t>
            </w:r>
            <w:proofErr w:type="spellEnd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, personalizados: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1: 3 x 5 a 8,5 x 14 pol.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2: 3,86 x 5,85 a 8,5 x 14 pol.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 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lastRenderedPageBreak/>
              <w:t xml:space="preserve">Tamanhos de </w:t>
            </w:r>
            <w:proofErr w:type="spellStart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multimédia</w:t>
            </w:r>
            <w:proofErr w:type="spellEnd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, personalizados: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1: 76 x 127 a 216 x 356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2: 98 x 148 a 216 x 356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Tipos de material de impressão: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Normal, Grosso, Fino, Algodão, Colorido,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Pré-impresso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>, Reciclado, Etiquetas, Cartolina, Bond, Arquivo, Envelope, Timbrado, Furado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Peso suportes, suportado: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Tabuleiro 1: 60 a 163 g/m²; Tabuleiro 2: 60 a 163 g/m²; tabuleiro de entrada opcional: 60 a 163 g/m²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 xml:space="preserve">Peso </w:t>
            </w:r>
            <w:proofErr w:type="spellStart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multimédia</w:t>
            </w:r>
            <w:proofErr w:type="spellEnd"/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 xml:space="preserve"> suportado: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Tabuleiro 1: 16 a 43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lb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; Tabuleiro 2: 16 a 43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lb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Pesos dos suportes de impressão, ADF suportado: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- 50 a 105 g / m²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Pesos dos suportes de impressão, ADF suportado: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- 13,3 a 28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lb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 </w:t>
            </w: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Scanner: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Tipo de scanner: Base plana, ADF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Formatos dos ficheiros digitalizados: PDF, JPG, TIFF, XPS, PDF pesquisável, PDF compacto, PDF/A, encriptação de PDF, assinatura digital em PDF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Resolução de digitalização, óptica: Até 600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ppp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>- Tamanho da digitalização, máximo: 216 x 356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Tamanho da digitalização, máximo: 8,5 x 14 pol.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Tamanho da digitalização (ADF), máxima: 216 x 356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Tamanho da digitalização (ADF), máxima: 8,5 x 14 pol.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Dimensão da digitalização (ADF), mínima: 100 x 152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Dimensão da digitalização (ADF), mínima: 4 x 6 in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Velocidade de digitalização (normal, A4): Até 53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ppm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/35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ipm</w:t>
            </w:r>
            <w:proofErr w:type="spellEnd"/>
            <w:r w:rsidRPr="00F50AB0">
              <w:rPr>
                <w:rFonts w:ascii="Cambria" w:hAnsi="Cambria"/>
                <w:sz w:val="16"/>
                <w:szCs w:val="16"/>
              </w:rPr>
              <w:t xml:space="preserve"> (preto, cores);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Capacidade do alimentador automático de documentos: De série, 100 folhas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 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Características padrão da transmissão digital: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Digitalizar para e-mail; digitalizar para pasta (SMB FTP)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Digitalizar para HDD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Digitalizar para DFS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Digitalizar para drive USB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WSD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Scan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Digitalizar para PC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PC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Scan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Digitalizar para a Samsung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Cloud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Autenticação LDAP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 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Modos de entrada de digitalização: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Digitalização no painel frontal, cópia, fax (opcional), e-mail, software Samsung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Scan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>- Aplicação de utilizador via TWAIN ou WIA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Fotocopiadora: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Velocidade de cópia (normal): Preto: Até 53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cpm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 xml:space="preserve">- Resolução de cópia (texto a preto): Até 600 x 600 </w:t>
            </w:r>
            <w:proofErr w:type="spellStart"/>
            <w:r w:rsidRPr="00F50AB0">
              <w:rPr>
                <w:rFonts w:ascii="Cambria" w:hAnsi="Cambria"/>
                <w:sz w:val="16"/>
                <w:szCs w:val="16"/>
              </w:rPr>
              <w:t>ppp</w:t>
            </w:r>
            <w:proofErr w:type="spellEnd"/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Definições de redução/ampliação de cópias: 25 até 400%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Cópias, máximo: Até 9999 cópias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Requisitos de funcionamento e energia: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Energia/Alimentação: Tensão de entrada de 110 V: 110 a 127 VCA, 50/60 Hz e tensão de entrada de 220 V: 220 a 240 VCA, 50/60 Hz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Consumo de energia: 900 Watts (Imprimir), 900 Watts (Copiar), 30 Watts (Pronta), 2 Watts (Descanso)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Gama de temperaturas de funcionamento: 10 a 30 ° C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Gama de temperaturas de funcionamento: 50 a 86 ° F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Intervalo de humidade para funcionamento: 20 a 70% HR (sem condensação)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Emissões de potência acústica (pronta): 4,9 B (A)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Emissões de pressão acústica em proximidade (ativa, a imprimir): 56 dB (A)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Eficiência energética: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lastRenderedPageBreak/>
              <w:t>- Com qualificação ENERGY STAR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Anjo azul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Style w:val="Forte"/>
                <w:rFonts w:ascii="Cambria" w:hAnsi="Cambria"/>
                <w:color w:val="333333"/>
                <w:sz w:val="16"/>
                <w:szCs w:val="16"/>
              </w:rPr>
              <w:t>Físico: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Dimensões mínimas: 630 x 501 x 645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r w:rsidRPr="00F50AB0">
              <w:rPr>
                <w:rFonts w:ascii="Cambria" w:hAnsi="Cambria"/>
                <w:sz w:val="16"/>
                <w:szCs w:val="16"/>
              </w:rPr>
              <w:t>- Dimensões máximas: 999 x 674 x 1121 mm</w:t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</w:p>
          <w:p w:rsidR="00022DA3" w:rsidRPr="00F50AB0" w:rsidRDefault="00022DA3" w:rsidP="00022DA3">
            <w:pPr>
              <w:spacing w:after="240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5.390,00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26.950,00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26.950,00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134.750,00</w:t>
            </w:r>
          </w:p>
        </w:tc>
      </w:tr>
      <w:tr w:rsidR="00022DA3" w:rsidRPr="00F50AB0" w:rsidTr="002F2CAE">
        <w:tc>
          <w:tcPr>
            <w:tcW w:w="709" w:type="dxa"/>
          </w:tcPr>
          <w:p w:rsidR="00022DA3" w:rsidRPr="00F50AB0" w:rsidRDefault="00022DA3" w:rsidP="00022DA3">
            <w:pPr>
              <w:pStyle w:val="Corpodetexto"/>
              <w:tabs>
                <w:tab w:val="left" w:pos="4156"/>
                <w:tab w:val="left" w:pos="5426"/>
              </w:tabs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F50AB0">
              <w:rPr>
                <w:rFonts w:ascii="Cambria" w:hAnsi="Cambria"/>
                <w:sz w:val="16"/>
                <w:szCs w:val="16"/>
              </w:rPr>
              <w:t>IMPRESSORA  MULTIFUNCIONAL</w:t>
            </w:r>
            <w:proofErr w:type="gramEnd"/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Funções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Impressão, Digitalização, Cópia e Fax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Processador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Dual Core 1GHz (C4N + A1000)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Memória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Padrão: 2GB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Máximao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: 2GB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Conexão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USB 2.0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Ethernet 10/100/1000 Base TX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Conexão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Interface USB 2.0 e Ethernet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Consumo de Energia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Pronto: Menos de 50W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Normal: 700W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Economia de Energia: Menos de 1,21W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Desligado: Menos de 0,1W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Espera: Menos de 1,26W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Ciclo Mensal no mínimo 120.000 páginas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Painel de Controle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LCD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TouchScreen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7"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Velocidade de Impressão (Simples)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Carta: Até 42 páginas por minuto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A4: Até 40 páginas por minuto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Velocidade de Impressão (Duplex)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Carta: Até 20 imagens por 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lastRenderedPageBreak/>
              <w:t>minuto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A4: Até 20 imagens por minuto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Tempo para Primeira Impressão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Até 6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seg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desde o modo pronta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Resolução de Impressão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Óptica: Até 600x600dpi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Aprimorada: Até 1200x1200dpi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Impressão Duplex Sim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Emulação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>PostScript3, PCL6, PCL5e, PDF Direct V1.7, XPS, TIFF, URF, PWG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 xml:space="preserve">Sistema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>Operacional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>Compatível</w:t>
            </w:r>
            <w:proofErr w:type="spellEnd"/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 xml:space="preserve">Windows 8, Windows 7, Windows Vista, Windows XP, Windows 2012 R2, Windows 2012, Windows 2008 R2, Windows 2008, Windows 2003; Mac OS X 10.6 - 10.10;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>Diversos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 xml:space="preserve"> Linux, Unix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Tamanho do Vidro do Scanner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Ofício 216x356mm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Suporte à Impressão Direta Sim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Protocolos de Rede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TCP/IP padrão (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Raw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), atribuição de IP (DHCP, BOOTP,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AutoIP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), HTTP,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HTTPs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IPP,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IPPs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WSD, SNMPv1/v2c/v3,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SetIP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SLP, DNS, DDNS,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Bonjour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®, WINS, LPD/ LPR,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ThinPrint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Google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Cloud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Print™, SMB, FTP, SMTP,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SMTPs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UPnP,LDAP</w:t>
            </w:r>
            <w:proofErr w:type="spellEnd"/>
            <w:proofErr w:type="gram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Kerberos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SMB,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IPSec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, 802.1x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Velocidade da Cópia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lastRenderedPageBreak/>
              <w:t>A4: Até 40 cópias por minuto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Carta: Até 42 cópias por minuto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Velocidade da Primeira Cópia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Até 7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seg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no modo pronto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Redução/Ampliação Cópia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25 a 400% (vidro de digitalização e ADF)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MultiCópias</w:t>
            </w:r>
            <w:proofErr w:type="spellEnd"/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999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Cópia Duplex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Embutido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Recursos de Cópia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Cópia de Identidade, N em 1, Pôster, Clonagem, Livretos, Capas, Transparências, Livro, Rotação, Criar Trabalho, Deslocamento de Imagem, Programa, Marca d´água, Apagar fundo, Apagar borda, Apagamento do centro do livro,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Carimdo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de data e Hora, Carimbo de ID, Salvar para Arquivo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Resolução da Cópia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600 x 600dpi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Velocidade do Scanner (Color e Mono)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(Simples) 35 imagens por minuto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(Duplex) 60 imagens por minuto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Compatibilidade do Scanner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Padrão TWAIN, Padrão WIA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Formato de Arquivo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  <w:lang w:val="en-US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  <w:lang w:val="en-US"/>
              </w:rPr>
              <w:t>TIFF-S, TIFF-M, JEPG, S-PDF, M-PDF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Resolução do Scanner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Óptica: Até 600x600dpi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Aprimorada: Até 4.800x4.800dpi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lastRenderedPageBreak/>
              <w:t>Destinação do Scanner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HDD, USB, E-MAIL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Compatibilidade do Fax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ITU-T G3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Velocidade do Modem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33,6kbps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Resolução do Fax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Até 300x300pdi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Memória do Fax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50MB (HDD Compartilhada)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Discagem Automática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Sim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Recurso de Fax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Discagem rápida, Discagem no gancho,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Rediscagem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automática, ID do emissor da chamada, Encaminhamento de fax etc.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Destinos da Digitalização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N/A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Capacidade Bandeja de Entrada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Padrão: 550 folhas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Multiuso: 100 folhas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Tipo de Papel Aceito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Bandeja Padrão: Comum, Fino, Perfurado,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Pré-impresso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Reciclado, Arquivo, Bond, Envelope, Cartão, Etiqueta, timbrado, Espesso, Colorido,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AlgodãoBandeja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Multiuso: Comum, Fino, Bond,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Pré-impresso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, Reciclado, Envelope, Etiqueta, Cartão, Grosso, Algodão, Colorido, Arquivo, Mais Grosso, Perfurado, Timbrado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Impressãoo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Duplex: Comum, Fino, Grosso, 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lastRenderedPageBreak/>
              <w:t xml:space="preserve">Reciclado, Bond,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Pré-impresso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, Algodão, Colorido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Tamanho do Papel Aceito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Bandeja Padrão: A4, A5, A6, Carta, Ofício, Fólio, JIS B5, ISO B5, Executivo,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Statement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, Cartão 4x6, Envelope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Monarch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nº9 nº10 DL C5 C6,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PersonalizadoImpressão</w:t>
            </w:r>
            <w:proofErr w:type="spellEnd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 Duplex: A4, Carta, Ofício, Fólio, Ofício 1, JIS B5, ISO B5, Executivo, </w:t>
            </w:r>
            <w:proofErr w:type="spellStart"/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Statement</w:t>
            </w:r>
            <w:proofErr w:type="spellEnd"/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Tamanho do Papel Aceito (bandeja multiuso)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Mínimo: 76,2x127mm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Máximo: 216x356mm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Gramatura Aceita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Bandeja Padrão: 60 a 163g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Bandeja Multiuso: 60 a 220g</w:t>
            </w: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/>
              <w:t>Impressão Duplex: 60 a 120 g/m²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Tipo de ADF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DSDF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Capacidade de Documentos do ADF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50 folhas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Capacidade Bandeja de Saída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250 folhas com a face para baixo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Voltagem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110V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>Garantia</w:t>
            </w:r>
          </w:p>
          <w:p w:rsidR="00022DA3" w:rsidRPr="00F50AB0" w:rsidRDefault="00022DA3" w:rsidP="00022DA3">
            <w:pPr>
              <w:shd w:val="clear" w:color="auto" w:fill="FFFFFF"/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t xml:space="preserve">01 ano de garantia limitada. </w:t>
            </w:r>
          </w:p>
          <w:p w:rsidR="00022DA3" w:rsidRPr="00F50AB0" w:rsidRDefault="00022DA3" w:rsidP="00022DA3">
            <w:pPr>
              <w:rPr>
                <w:rFonts w:ascii="Cambria" w:hAnsi="Cambria"/>
                <w:color w:val="333333"/>
                <w:sz w:val="16"/>
                <w:szCs w:val="16"/>
              </w:rPr>
            </w:pPr>
            <w:r w:rsidRPr="00F50AB0">
              <w:rPr>
                <w:rFonts w:ascii="Cambria" w:hAnsi="Cambria"/>
                <w:color w:val="333333"/>
                <w:sz w:val="16"/>
                <w:szCs w:val="16"/>
              </w:rPr>
              <w:br w:type="page"/>
            </w:r>
          </w:p>
          <w:p w:rsidR="00022DA3" w:rsidRPr="00F50AB0" w:rsidRDefault="00022DA3" w:rsidP="00022DA3">
            <w:pPr>
              <w:pStyle w:val="SemEspaamen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022DA3" w:rsidRPr="00F50AB0" w:rsidRDefault="00022DA3" w:rsidP="00022DA3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50AB0">
              <w:rPr>
                <w:rFonts w:ascii="Cambria" w:hAnsi="Cambria" w:cs="Calibri"/>
                <w:color w:val="000000"/>
                <w:sz w:val="16"/>
                <w:szCs w:val="16"/>
              </w:rPr>
              <w:t>199.500,00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0238C">
        <w:rPr>
          <w:rFonts w:ascii="Cambria" w:hAnsi="Cambria"/>
          <w:color w:val="000000"/>
          <w:szCs w:val="24"/>
        </w:rPr>
        <w:t>040/2020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0238C">
        <w:rPr>
          <w:rFonts w:ascii="Cambria" w:hAnsi="Cambria"/>
          <w:color w:val="000000"/>
          <w:szCs w:val="24"/>
        </w:rPr>
        <w:t>040/2020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60238C">
        <w:rPr>
          <w:rFonts w:ascii="Cambria" w:hAnsi="Cambria"/>
          <w:color w:val="000000"/>
          <w:szCs w:val="24"/>
        </w:rPr>
        <w:t>040/2020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 xml:space="preserve">II - Nos casos de eventuais atrasos de pagamento não justificados, provocados exclusivamente pela Administração, o valor devido deverá ser acrescido de </w:t>
      </w:r>
      <w:r w:rsidRPr="00094E69">
        <w:rPr>
          <w:rFonts w:ascii="Cambria" w:hAnsi="Cambria" w:cs="Arial"/>
        </w:rPr>
        <w:lastRenderedPageBreak/>
        <w:t>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0238C">
        <w:rPr>
          <w:rFonts w:ascii="Cambria" w:hAnsi="Cambria"/>
          <w:color w:val="000000"/>
          <w:szCs w:val="24"/>
        </w:rPr>
        <w:t>040/2020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123F87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60238C">
        <w:rPr>
          <w:rFonts w:ascii="Cambria" w:hAnsi="Cambria" w:cs="Arial"/>
          <w:color w:val="000000"/>
        </w:rPr>
        <w:t>040/2020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123F87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– </w:t>
      </w:r>
      <w:r w:rsidR="00961925" w:rsidRPr="00173E14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123F87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</w:t>
      </w:r>
      <w:r w:rsidR="00961925" w:rsidRPr="00173E14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F50AB0">
        <w:rPr>
          <w:rFonts w:ascii="Cambria" w:hAnsi="Cambria"/>
          <w:color w:val="000000"/>
          <w:szCs w:val="24"/>
        </w:rPr>
        <w:t>24 de junho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23F8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123F87">
        <w:rPr>
          <w:rFonts w:ascii="Cambria" w:hAnsi="Cambria" w:cs="Arial"/>
          <w:b/>
          <w:i/>
          <w:color w:val="000000"/>
        </w:rPr>
        <w:lastRenderedPageBreak/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Mário Reis </w:t>
      </w:r>
      <w:proofErr w:type="spellStart"/>
      <w:r w:rsidRPr="00173E14">
        <w:rPr>
          <w:rFonts w:ascii="Cambria" w:hAnsi="Cambria" w:cs="Arial"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23F87" w:rsidRDefault="00123F87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123F87">
        <w:rPr>
          <w:rFonts w:ascii="Cambria" w:hAnsi="Cambria" w:cs="Arial"/>
          <w:b/>
          <w:i/>
          <w:color w:val="000000"/>
        </w:rPr>
        <w:t>Vanessa Angélica Teixeira Gonzaga Aguiar ME</w:t>
      </w:r>
    </w:p>
    <w:p w:rsidR="00961925" w:rsidRPr="00173E14" w:rsidRDefault="00123F87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24.501.724/0001-87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1A" w:rsidRDefault="0037241A">
      <w:r>
        <w:separator/>
      </w:r>
    </w:p>
  </w:endnote>
  <w:endnote w:type="continuationSeparator" w:id="0">
    <w:p w:rsidR="0037241A" w:rsidRDefault="0037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0" w:rsidRDefault="003C15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 w:rsidP="003C1580">
    <w:pPr>
      <w:pStyle w:val="Rodap"/>
      <w:ind w:left="-142"/>
      <w:jc w:val="center"/>
      <w:rPr>
        <w:sz w:val="24"/>
      </w:rPr>
    </w:pPr>
    <w:r>
      <w:t>AV. FRANCISCO VALADARES DA FONSECA, 250</w:t>
    </w:r>
    <w:r w:rsidR="003C1580">
      <w:t xml:space="preserve"> </w:t>
    </w:r>
    <w:r>
      <w:t xml:space="preserve">– </w:t>
    </w:r>
    <w:r w:rsidR="003C1580">
      <w:t>VASCO LOPES</w:t>
    </w:r>
    <w:r>
      <w:t xml:space="preserve"> – CEP 35669-000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0" w:rsidRDefault="003C15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1A" w:rsidRDefault="0037241A">
      <w:r>
        <w:separator/>
      </w:r>
    </w:p>
  </w:footnote>
  <w:footnote w:type="continuationSeparator" w:id="0">
    <w:p w:rsidR="0037241A" w:rsidRDefault="0037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0" w:rsidRDefault="003C15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80" w:rsidRDefault="003C15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21A6"/>
    <w:rsid w:val="00003AA2"/>
    <w:rsid w:val="0002060E"/>
    <w:rsid w:val="00022DA3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23F87"/>
    <w:rsid w:val="00173E14"/>
    <w:rsid w:val="00185868"/>
    <w:rsid w:val="001A15A9"/>
    <w:rsid w:val="001A5F93"/>
    <w:rsid w:val="001B5D1E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7241A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35846"/>
    <w:rsid w:val="00561D33"/>
    <w:rsid w:val="00573148"/>
    <w:rsid w:val="005937A6"/>
    <w:rsid w:val="005A0CC7"/>
    <w:rsid w:val="005A3440"/>
    <w:rsid w:val="005E4232"/>
    <w:rsid w:val="005F7E83"/>
    <w:rsid w:val="0060238C"/>
    <w:rsid w:val="00614622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16A8"/>
    <w:rsid w:val="007E65F8"/>
    <w:rsid w:val="007E7333"/>
    <w:rsid w:val="007F35AD"/>
    <w:rsid w:val="007F6918"/>
    <w:rsid w:val="008020A0"/>
    <w:rsid w:val="00804E05"/>
    <w:rsid w:val="00816A61"/>
    <w:rsid w:val="0082121D"/>
    <w:rsid w:val="00823D9E"/>
    <w:rsid w:val="00844F2C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D5746"/>
    <w:rsid w:val="008D6E6C"/>
    <w:rsid w:val="008E594C"/>
    <w:rsid w:val="009037AB"/>
    <w:rsid w:val="00934867"/>
    <w:rsid w:val="009615FB"/>
    <w:rsid w:val="00961925"/>
    <w:rsid w:val="00977B31"/>
    <w:rsid w:val="00980456"/>
    <w:rsid w:val="009B1C3D"/>
    <w:rsid w:val="009C09EF"/>
    <w:rsid w:val="009D484C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81615"/>
    <w:rsid w:val="00A91212"/>
    <w:rsid w:val="00AB7BB6"/>
    <w:rsid w:val="00AC0E53"/>
    <w:rsid w:val="00AC48B4"/>
    <w:rsid w:val="00AC65DE"/>
    <w:rsid w:val="00AD0F4F"/>
    <w:rsid w:val="00AD2662"/>
    <w:rsid w:val="00B00BE4"/>
    <w:rsid w:val="00B27EB9"/>
    <w:rsid w:val="00B328B9"/>
    <w:rsid w:val="00B32E89"/>
    <w:rsid w:val="00B4414D"/>
    <w:rsid w:val="00B62020"/>
    <w:rsid w:val="00B907F8"/>
    <w:rsid w:val="00B92C88"/>
    <w:rsid w:val="00BA129C"/>
    <w:rsid w:val="00BA3FC8"/>
    <w:rsid w:val="00BA623F"/>
    <w:rsid w:val="00BD06EE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17C0D"/>
    <w:rsid w:val="00D358F0"/>
    <w:rsid w:val="00D55E83"/>
    <w:rsid w:val="00D91CBE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0AB0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3517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9</cp:revision>
  <cp:lastPrinted>2020-06-24T16:59:00Z</cp:lastPrinted>
  <dcterms:created xsi:type="dcterms:W3CDTF">2020-06-24T17:57:00Z</dcterms:created>
  <dcterms:modified xsi:type="dcterms:W3CDTF">2020-06-26T16:35:00Z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