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273022" w:rsidRPr="00173E14">
        <w:rPr>
          <w:rFonts w:ascii="Cambria" w:hAnsi="Cambria"/>
          <w:b/>
          <w:color w:val="000000"/>
          <w:szCs w:val="24"/>
        </w:rPr>
        <w:t>024/2020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273022" w:rsidRPr="00173E14">
        <w:rPr>
          <w:rFonts w:ascii="Cambria" w:hAnsi="Cambria"/>
          <w:b/>
          <w:color w:val="000000"/>
          <w:szCs w:val="24"/>
        </w:rPr>
        <w:t>011/2020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357D85">
        <w:rPr>
          <w:rFonts w:ascii="Cambria" w:hAnsi="Cambria"/>
          <w:color w:val="000000"/>
          <w:szCs w:val="24"/>
        </w:rPr>
        <w:t>010/2020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273022" w:rsidRPr="00173E14">
        <w:rPr>
          <w:rFonts w:ascii="Cambria" w:hAnsi="Cambria"/>
          <w:color w:val="000000"/>
          <w:szCs w:val="24"/>
        </w:rPr>
        <w:t>024/2020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E31A99">
        <w:rPr>
          <w:rFonts w:ascii="Cambria" w:hAnsi="Cambria" w:cs="Arial"/>
          <w:color w:val="000000"/>
        </w:rPr>
        <w:t>05 (cinco)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E31A99">
        <w:rPr>
          <w:rFonts w:ascii="Cambria" w:hAnsi="Cambria" w:cs="Arial"/>
          <w:color w:val="000000"/>
        </w:rPr>
        <w:t xml:space="preserve">março </w:t>
      </w:r>
      <w:r w:rsidRPr="00173E14">
        <w:rPr>
          <w:rFonts w:ascii="Cambria" w:hAnsi="Cambria" w:cs="Arial"/>
          <w:color w:val="000000"/>
        </w:rPr>
        <w:t xml:space="preserve">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31A99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E31A99">
        <w:rPr>
          <w:rFonts w:ascii="Cambria" w:hAnsi="Cambria" w:cs="Arial"/>
          <w:color w:val="000000"/>
        </w:rPr>
        <w:t xml:space="preserve">Mário Reis </w:t>
      </w:r>
      <w:proofErr w:type="spellStart"/>
      <w:r w:rsidR="00E31A99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273022" w:rsidRPr="00173E14">
        <w:rPr>
          <w:rFonts w:ascii="Cambria" w:hAnsi="Cambria" w:cs="Arial"/>
          <w:color w:val="000000"/>
        </w:rPr>
        <w:t>011/2020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273022" w:rsidRPr="00173E14">
        <w:rPr>
          <w:rFonts w:ascii="Cambria" w:hAnsi="Cambria" w:cs="Arial"/>
          <w:color w:val="000000"/>
        </w:rPr>
        <w:t>024/2020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4168B8" w:rsidRPr="004168B8">
        <w:rPr>
          <w:rFonts w:ascii="Cambria" w:hAnsi="Cambria" w:cs="Arial"/>
          <w:b/>
          <w:color w:val="000000"/>
        </w:rPr>
        <w:t>PROLAGOS PRODUTOS PARA SAÚDE EIRELI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4168B8">
        <w:rPr>
          <w:rFonts w:ascii="Cambria" w:hAnsi="Cambria" w:cs="Arial"/>
          <w:color w:val="000000"/>
        </w:rPr>
        <w:t>Rua Verbenas, nº. 27, bairro Montreal, Sete Lagoas/MG, CEP 35.701-379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4168B8">
        <w:rPr>
          <w:rFonts w:ascii="Cambria" w:hAnsi="Cambria" w:cs="Arial"/>
          <w:color w:val="000000"/>
        </w:rPr>
        <w:t>23.950.207/0001-22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4168B8">
        <w:rPr>
          <w:rFonts w:ascii="Cambria" w:hAnsi="Cambria" w:cs="Arial"/>
          <w:color w:val="000000"/>
        </w:rPr>
        <w:t>Willian Aparecido da Silva, inscrito no CPF/MF sob o nº. 039.734.026-55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16"/>
        <w:gridCol w:w="873"/>
        <w:gridCol w:w="963"/>
        <w:gridCol w:w="1099"/>
        <w:gridCol w:w="966"/>
        <w:gridCol w:w="1081"/>
        <w:gridCol w:w="966"/>
        <w:gridCol w:w="1081"/>
      </w:tblGrid>
      <w:tr w:rsidR="004168B8" w:rsidRPr="004168B8" w:rsidTr="00380C12">
        <w:trPr>
          <w:trHeight w:val="20"/>
        </w:trPr>
        <w:tc>
          <w:tcPr>
            <w:tcW w:w="535" w:type="dxa"/>
            <w:vMerge w:val="restart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4168B8" w:rsidRPr="004168B8" w:rsidTr="00380C12">
        <w:trPr>
          <w:trHeight w:val="20"/>
        </w:trPr>
        <w:tc>
          <w:tcPr>
            <w:tcW w:w="535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45" w:type="dxa"/>
            <w:gridSpan w:val="3"/>
            <w:shd w:val="clear" w:color="000000" w:fill="BFBFBF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60" w:type="dxa"/>
            <w:gridSpan w:val="2"/>
            <w:shd w:val="clear" w:color="000000" w:fill="BFBFBF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60" w:type="dxa"/>
            <w:gridSpan w:val="2"/>
            <w:shd w:val="clear" w:color="000000" w:fill="BFBFBF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4168B8" w:rsidRPr="00380C12" w:rsidTr="00380C12">
        <w:trPr>
          <w:trHeight w:val="234"/>
        </w:trPr>
        <w:tc>
          <w:tcPr>
            <w:tcW w:w="535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 w:val="restart"/>
            <w:shd w:val="clear" w:color="000000" w:fill="D9D9D9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8" w:type="dxa"/>
            <w:vMerge w:val="restart"/>
            <w:shd w:val="clear" w:color="000000" w:fill="D9D9D9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1" w:type="dxa"/>
            <w:vMerge w:val="restart"/>
            <w:shd w:val="clear" w:color="000000" w:fill="D9D9D9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9" w:type="dxa"/>
            <w:vMerge w:val="restart"/>
            <w:shd w:val="clear" w:color="000000" w:fill="D9D9D9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1" w:type="dxa"/>
            <w:vMerge w:val="restart"/>
            <w:shd w:val="clear" w:color="000000" w:fill="D9D9D9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9" w:type="dxa"/>
            <w:vMerge w:val="restart"/>
            <w:shd w:val="clear" w:color="000000" w:fill="D9D9D9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4168B8" w:rsidRPr="004168B8" w:rsidTr="00380C12">
        <w:trPr>
          <w:trHeight w:val="234"/>
        </w:trPr>
        <w:tc>
          <w:tcPr>
            <w:tcW w:w="535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4168B8" w:rsidRPr="004168B8" w:rsidRDefault="004168B8" w:rsidP="004168B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Álcool etílico 70 % INPM 1 litro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5,10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2.040,00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2.040,00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10.200,00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Borrachas de silicone branca (torpedo), para polimento de resina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fotopolimerizável</w:t>
            </w:r>
            <w:proofErr w:type="spellEnd"/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18,25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912,50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912,50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4.562,50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Coletor de materiais perfuro cortantes – 5 litros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810,00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Escova dental adulto com cerdas firmes, não soltem ao manuseio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13.500,00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Escova dental infantil com cerdas firmes, não soltem ao manuseio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7.500,00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Fita adesiva autoclave 1042/s -19 mm x 30 m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620,00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3.100,00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Gorro descartável, branco, tipo touca de banho, com elástico – pacote com 100 unidades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11.400,00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11.400,00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57.000,00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Máscara tripla proteção, com excelente filtração bacteriana e resistente a líquidos e com perfeita adaptação à face. Caixa com 50 unidades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2.550,00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2.550,00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12.750,00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Óculos de segurança inteiriço com lente incolor, em policarbonato, com espessura mínima de 2 mm, tratamento de superfície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anti-arranhões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camada ante embaçante através de banho de imersão permanente.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5,66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113,20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113,20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566,00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Sabonete líquido 5 litros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19,30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772,00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772,00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3.860,00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Tira de lixa de aço para amálgama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513,00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513,00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2.565,00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Tira de lixa para polimento de resina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355,00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Alavanca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Heidbrink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nº  1</w:t>
            </w:r>
            <w:proofErr w:type="gramEnd"/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15,45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154,50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154,50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772,50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Alavanca apical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anodizado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nº304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22,95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229,50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229,50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1.147,50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Aparelho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fotopolimerizador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sem fio, acionamento do aparelho (tipo gatilho), ajuste do tempo de ativação, seleção do modo de aplicação, 3 modos programáveis de aplicação: Contínuo: Máxima luminosidade do início ao fim da polimerização Rampa: Aumento gradual da intensidade da luz Pulsado: Acionamento pulsante com ciclos de 1x1 </w:t>
            </w:r>
            <w:proofErr w:type="gram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seg.,</w:t>
            </w:r>
            <w:proofErr w:type="gram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Tempo de operação programável 5, 10, 15 e 20 segundos, Sinal sonoro BIP a cada 5 </w:t>
            </w: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segundos. LED de alta potência. Comprimento de onda de 420nm a- 480nm. Eficiente acoplamento e distribuição óptica. Condutor de luz de fibra óptica 100% coerente.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Autoclavável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 134ºC. Base de descanso com carregador de bateria. Com LED indicador de carga da bateria. Sistema stand-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by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. Desliga automaticamente após 3 minutos sem utilização. Bateria inteligente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recarregável.Sistema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inteligente de desligamento automático: a bateria desliga automaticamente em caso de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subtensão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garantindo uma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fotoativação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segura. Sem necessidade de descarregar completamente para efetuar nova recarga.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519,00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1.557,00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1.557,00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7.785,00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Cabo de bisturi para lâminas nº12 e 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156,00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780,00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Cabo para espelho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68,70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68,70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343,50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Descolador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Molt</w:t>
            </w:r>
            <w:proofErr w:type="spellEnd"/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312,00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312,00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1.560,00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Extrator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Maccall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nº1/10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9,42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282,60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282,60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1.413,00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Extrator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Maccall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nº11/12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9,42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282,60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282,60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1.413,00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Pinça hemostáticas Kelly reta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21,34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1.067,00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1.067,00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5.335,00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Pinça hemostáticas Kelly curva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21,34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1.067,00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1.067,00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5.335,00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Periotomo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simples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32,40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972,00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972,00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4.860,00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Peritomo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duplo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32,40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972,00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972,00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4.860,00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Porta agulha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mayo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hegar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14cm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4.950,00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Porta matriz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toffemire</w:t>
            </w:r>
            <w:proofErr w:type="spellEnd"/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4.300,00</w:t>
            </w:r>
          </w:p>
        </w:tc>
      </w:tr>
      <w:tr w:rsidR="004168B8" w:rsidRPr="00380C12" w:rsidTr="00380C12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Seringa </w:t>
            </w:r>
            <w:proofErr w:type="spellStart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carpule</w:t>
            </w:r>
            <w:proofErr w:type="spellEnd"/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, dobrável, para anestesia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4168B8" w:rsidRPr="004168B8" w:rsidRDefault="004168B8" w:rsidP="004168B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24,50</w:t>
            </w:r>
          </w:p>
        </w:tc>
        <w:tc>
          <w:tcPr>
            <w:tcW w:w="1108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1.225,00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1.225,00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9" w:type="dxa"/>
            <w:shd w:val="clear" w:color="000000" w:fill="FFFFFF"/>
            <w:vAlign w:val="center"/>
            <w:hideMark/>
          </w:tcPr>
          <w:p w:rsidR="004168B8" w:rsidRPr="004168B8" w:rsidRDefault="004168B8" w:rsidP="00380C1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168B8">
              <w:rPr>
                <w:rFonts w:ascii="Cambria" w:hAnsi="Cambria" w:cs="Calibri"/>
                <w:color w:val="000000"/>
                <w:sz w:val="18"/>
                <w:szCs w:val="18"/>
              </w:rPr>
              <w:t>6.125,00</w:t>
            </w:r>
          </w:p>
        </w:tc>
      </w:tr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lastRenderedPageBreak/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094E69">
        <w:rPr>
          <w:rFonts w:ascii="Cambria" w:hAnsi="Cambria" w:cs="Arial"/>
          <w:b/>
          <w:bCs/>
        </w:rPr>
        <w:t>onde</w:t>
      </w:r>
      <w:proofErr w:type="gramEnd"/>
      <w:r w:rsidRPr="00094E69">
        <w:rPr>
          <w:rFonts w:ascii="Cambria" w:hAnsi="Cambria" w:cs="Arial"/>
          <w:b/>
          <w:bCs/>
        </w:rPr>
        <w:t>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lastRenderedPageBreak/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273022" w:rsidRPr="00173E14">
        <w:rPr>
          <w:rFonts w:ascii="Cambria" w:hAnsi="Cambria" w:cs="Arial"/>
          <w:color w:val="000000"/>
        </w:rPr>
        <w:t>011/2020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380C12">
        <w:rPr>
          <w:rFonts w:ascii="Cambria" w:hAnsi="Cambria"/>
          <w:color w:val="000000"/>
          <w:szCs w:val="24"/>
        </w:rPr>
        <w:t>05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380C12" w:rsidRPr="00380C12" w:rsidRDefault="00380C12" w:rsidP="00380C12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380C12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380C12">
        <w:rPr>
          <w:rFonts w:ascii="Cambria" w:hAnsi="Cambria" w:cs="Arial"/>
          <w:b/>
          <w:i/>
          <w:color w:val="000000"/>
        </w:rPr>
        <w:t>Filgueiras</w:t>
      </w:r>
      <w:proofErr w:type="spellEnd"/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380C12" w:rsidRDefault="00380C12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proofErr w:type="spellStart"/>
      <w:r w:rsidRPr="00380C12">
        <w:rPr>
          <w:rFonts w:ascii="Cambria" w:hAnsi="Cambria" w:cs="Arial"/>
          <w:b/>
          <w:i/>
          <w:color w:val="000000"/>
        </w:rPr>
        <w:t>Prolagos</w:t>
      </w:r>
      <w:proofErr w:type="spellEnd"/>
      <w:r w:rsidRPr="00380C12">
        <w:rPr>
          <w:rFonts w:ascii="Cambria" w:hAnsi="Cambria" w:cs="Arial"/>
          <w:b/>
          <w:i/>
          <w:color w:val="000000"/>
        </w:rPr>
        <w:t xml:space="preserve"> Produtos Para Saúde </w:t>
      </w:r>
      <w:proofErr w:type="spellStart"/>
      <w:r w:rsidRPr="00380C12">
        <w:rPr>
          <w:rFonts w:ascii="Cambria" w:hAnsi="Cambria" w:cs="Arial"/>
          <w:b/>
          <w:i/>
          <w:color w:val="000000"/>
        </w:rPr>
        <w:t>Eireli</w:t>
      </w:r>
      <w:proofErr w:type="spellEnd"/>
    </w:p>
    <w:p w:rsidR="00961925" w:rsidRPr="00173E14" w:rsidRDefault="00380C12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23.950.207/0001-22</w:t>
      </w:r>
      <w:bookmarkStart w:id="0" w:name="_GoBack"/>
      <w:bookmarkEnd w:id="0"/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BA" w:rsidRDefault="004052BA">
      <w:r>
        <w:separator/>
      </w:r>
    </w:p>
  </w:endnote>
  <w:endnote w:type="continuationSeparator" w:id="0">
    <w:p w:rsidR="004052BA" w:rsidRDefault="0040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AC" w:rsidRDefault="00B940AC" w:rsidP="003B2DA6">
    <w:pPr>
      <w:pStyle w:val="Rodap"/>
      <w:ind w:left="-142"/>
      <w:jc w:val="center"/>
      <w:rPr>
        <w:sz w:val="24"/>
      </w:rPr>
    </w:pPr>
    <w:r>
      <w:t>AV. FRANCISCO VALADARES DA FONSECA, 250</w:t>
    </w:r>
    <w:r w:rsidR="003B2DA6">
      <w:t xml:space="preserve"> </w:t>
    </w:r>
    <w:r>
      <w:t xml:space="preserve">– </w:t>
    </w:r>
    <w:r w:rsidR="003B2DA6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BA" w:rsidRDefault="004052BA">
      <w:r>
        <w:separator/>
      </w:r>
    </w:p>
  </w:footnote>
  <w:footnote w:type="continuationSeparator" w:id="0">
    <w:p w:rsidR="004052BA" w:rsidRDefault="0040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B940AC" w:rsidRDefault="00B940AC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4E69"/>
    <w:rsid w:val="00095633"/>
    <w:rsid w:val="000E427B"/>
    <w:rsid w:val="000E479B"/>
    <w:rsid w:val="0010144B"/>
    <w:rsid w:val="00173E14"/>
    <w:rsid w:val="00185E0E"/>
    <w:rsid w:val="001A15A9"/>
    <w:rsid w:val="001A5F93"/>
    <w:rsid w:val="001B5D1E"/>
    <w:rsid w:val="001D46C5"/>
    <w:rsid w:val="00200713"/>
    <w:rsid w:val="00210FD8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103EC"/>
    <w:rsid w:val="003209D5"/>
    <w:rsid w:val="003243CA"/>
    <w:rsid w:val="003457EA"/>
    <w:rsid w:val="00346EE3"/>
    <w:rsid w:val="00357D85"/>
    <w:rsid w:val="00380C12"/>
    <w:rsid w:val="0039711B"/>
    <w:rsid w:val="003B0F42"/>
    <w:rsid w:val="003B2DA6"/>
    <w:rsid w:val="003C5BCC"/>
    <w:rsid w:val="003C6857"/>
    <w:rsid w:val="003C72FB"/>
    <w:rsid w:val="003D1005"/>
    <w:rsid w:val="003F46E8"/>
    <w:rsid w:val="003F55D1"/>
    <w:rsid w:val="004052BA"/>
    <w:rsid w:val="004114C2"/>
    <w:rsid w:val="004168B8"/>
    <w:rsid w:val="004526D9"/>
    <w:rsid w:val="004539B5"/>
    <w:rsid w:val="00460ED7"/>
    <w:rsid w:val="004868C0"/>
    <w:rsid w:val="004A0C06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73148"/>
    <w:rsid w:val="005937A6"/>
    <w:rsid w:val="005A0CC7"/>
    <w:rsid w:val="005A3440"/>
    <w:rsid w:val="005E4232"/>
    <w:rsid w:val="005F7E83"/>
    <w:rsid w:val="00614622"/>
    <w:rsid w:val="00647358"/>
    <w:rsid w:val="00656F20"/>
    <w:rsid w:val="0066409A"/>
    <w:rsid w:val="006709C5"/>
    <w:rsid w:val="00694DC5"/>
    <w:rsid w:val="006A06B2"/>
    <w:rsid w:val="006C3979"/>
    <w:rsid w:val="006D7103"/>
    <w:rsid w:val="006E6F38"/>
    <w:rsid w:val="006E7153"/>
    <w:rsid w:val="006F2F8D"/>
    <w:rsid w:val="006F7B8E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B5DF6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4BCA"/>
    <w:rsid w:val="008D6E6C"/>
    <w:rsid w:val="008E594C"/>
    <w:rsid w:val="00934867"/>
    <w:rsid w:val="009615FB"/>
    <w:rsid w:val="00961925"/>
    <w:rsid w:val="00980456"/>
    <w:rsid w:val="009B1C3D"/>
    <w:rsid w:val="009C09EF"/>
    <w:rsid w:val="009D484C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C0E53"/>
    <w:rsid w:val="00AC65DE"/>
    <w:rsid w:val="00AD0F4F"/>
    <w:rsid w:val="00AD2662"/>
    <w:rsid w:val="00B00BE4"/>
    <w:rsid w:val="00B24262"/>
    <w:rsid w:val="00B27EB9"/>
    <w:rsid w:val="00B328B9"/>
    <w:rsid w:val="00B32E89"/>
    <w:rsid w:val="00B92C88"/>
    <w:rsid w:val="00B940AC"/>
    <w:rsid w:val="00BA129C"/>
    <w:rsid w:val="00BA3FC8"/>
    <w:rsid w:val="00BA623F"/>
    <w:rsid w:val="00BD06EE"/>
    <w:rsid w:val="00C31066"/>
    <w:rsid w:val="00C37DC7"/>
    <w:rsid w:val="00C513D4"/>
    <w:rsid w:val="00C80443"/>
    <w:rsid w:val="00CD19D5"/>
    <w:rsid w:val="00CE7F25"/>
    <w:rsid w:val="00CF5B1A"/>
    <w:rsid w:val="00D01E09"/>
    <w:rsid w:val="00D17C0D"/>
    <w:rsid w:val="00D358F0"/>
    <w:rsid w:val="00D55E83"/>
    <w:rsid w:val="00DC18A7"/>
    <w:rsid w:val="00DE2653"/>
    <w:rsid w:val="00DE3EED"/>
    <w:rsid w:val="00DE67DD"/>
    <w:rsid w:val="00DF1244"/>
    <w:rsid w:val="00DF46D5"/>
    <w:rsid w:val="00E31A99"/>
    <w:rsid w:val="00E548A9"/>
    <w:rsid w:val="00E83D4F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71E73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2436</Words>
  <Characters>13158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7</cp:revision>
  <cp:lastPrinted>2019-03-15T12:10:00Z</cp:lastPrinted>
  <dcterms:created xsi:type="dcterms:W3CDTF">2020-05-15T16:43:00Z</dcterms:created>
  <dcterms:modified xsi:type="dcterms:W3CDTF">2020-05-15T16:52:00Z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