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273022" w:rsidRPr="00173E14">
        <w:rPr>
          <w:rFonts w:ascii="Cambria" w:hAnsi="Cambria"/>
          <w:b/>
          <w:color w:val="000000"/>
          <w:szCs w:val="24"/>
        </w:rPr>
        <w:t>024/2020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273022" w:rsidRPr="00173E14">
        <w:rPr>
          <w:rFonts w:ascii="Cambria" w:hAnsi="Cambria"/>
          <w:b/>
          <w:color w:val="000000"/>
          <w:szCs w:val="24"/>
        </w:rPr>
        <w:t>011/2020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357D85">
        <w:rPr>
          <w:rFonts w:ascii="Cambria" w:hAnsi="Cambria"/>
          <w:color w:val="000000"/>
          <w:szCs w:val="24"/>
        </w:rPr>
        <w:t>010/2020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273022" w:rsidRPr="00173E14">
        <w:rPr>
          <w:rFonts w:ascii="Cambria" w:hAnsi="Cambria"/>
          <w:color w:val="000000"/>
          <w:szCs w:val="24"/>
        </w:rPr>
        <w:t>024/2020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E31A99">
        <w:rPr>
          <w:rFonts w:ascii="Cambria" w:hAnsi="Cambria" w:cs="Arial"/>
          <w:color w:val="000000"/>
        </w:rPr>
        <w:t>05 (cinco)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E31A99">
        <w:rPr>
          <w:rFonts w:ascii="Cambria" w:hAnsi="Cambria" w:cs="Arial"/>
          <w:color w:val="000000"/>
        </w:rPr>
        <w:t xml:space="preserve">março </w:t>
      </w:r>
      <w:r w:rsidRPr="00173E14">
        <w:rPr>
          <w:rFonts w:ascii="Cambria" w:hAnsi="Cambria" w:cs="Arial"/>
          <w:color w:val="000000"/>
        </w:rPr>
        <w:t xml:space="preserve">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E31A99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E31A99">
        <w:rPr>
          <w:rFonts w:ascii="Cambria" w:hAnsi="Cambria" w:cs="Arial"/>
          <w:color w:val="000000"/>
        </w:rPr>
        <w:t xml:space="preserve">Mário Reis </w:t>
      </w:r>
      <w:proofErr w:type="spellStart"/>
      <w:r w:rsidR="00E31A99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273022" w:rsidRPr="00173E14">
        <w:rPr>
          <w:rFonts w:ascii="Cambria" w:hAnsi="Cambria" w:cs="Arial"/>
          <w:color w:val="000000"/>
        </w:rPr>
        <w:t>024/2020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C85D6B">
        <w:rPr>
          <w:rFonts w:ascii="Cambria" w:hAnsi="Cambria" w:cs="Arial"/>
          <w:b/>
          <w:color w:val="000000"/>
        </w:rPr>
        <w:t>DENTAL UNIVERSO EIRELI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083AEC">
        <w:rPr>
          <w:rFonts w:ascii="Cambria" w:hAnsi="Cambria" w:cs="Arial"/>
          <w:color w:val="000000"/>
        </w:rPr>
        <w:t>Rua Ere, nº. 303, bairro Prado, Belo Horizonte/MG, CEP 30.411-052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083AEC">
        <w:rPr>
          <w:rFonts w:ascii="Cambria" w:hAnsi="Cambria" w:cs="Arial"/>
          <w:color w:val="000000"/>
        </w:rPr>
        <w:t>26.395.502/0001-52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083AEC">
        <w:rPr>
          <w:rFonts w:ascii="Cambria" w:hAnsi="Cambria" w:cs="Arial"/>
          <w:color w:val="000000"/>
        </w:rPr>
        <w:t>Regiane Borges dos Santos</w:t>
      </w:r>
      <w:r w:rsidR="004168B8">
        <w:rPr>
          <w:rFonts w:ascii="Cambria" w:hAnsi="Cambria" w:cs="Arial"/>
          <w:color w:val="000000"/>
        </w:rPr>
        <w:t xml:space="preserve">, inscrito no CPF/MF sob o nº. </w:t>
      </w:r>
      <w:r w:rsidR="00083AEC">
        <w:rPr>
          <w:rFonts w:ascii="Cambria" w:hAnsi="Cambria" w:cs="Arial"/>
          <w:color w:val="000000"/>
        </w:rPr>
        <w:t>034.281.936-44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020"/>
        <w:gridCol w:w="795"/>
        <w:gridCol w:w="963"/>
        <w:gridCol w:w="934"/>
        <w:gridCol w:w="843"/>
        <w:gridCol w:w="925"/>
        <w:gridCol w:w="843"/>
        <w:gridCol w:w="972"/>
      </w:tblGrid>
      <w:tr w:rsidR="00005246" w:rsidRPr="00005246" w:rsidTr="004A5772">
        <w:trPr>
          <w:trHeight w:val="20"/>
        </w:trPr>
        <w:tc>
          <w:tcPr>
            <w:tcW w:w="527" w:type="dxa"/>
            <w:vMerge w:val="restart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275" w:type="dxa"/>
            <w:gridSpan w:val="7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4A5772" w:rsidRPr="004A5772" w:rsidTr="004A5772">
        <w:trPr>
          <w:trHeight w:val="20"/>
        </w:trPr>
        <w:tc>
          <w:tcPr>
            <w:tcW w:w="527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3"/>
            <w:shd w:val="clear" w:color="000000" w:fill="BFBFBF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768" w:type="dxa"/>
            <w:gridSpan w:val="2"/>
            <w:shd w:val="clear" w:color="000000" w:fill="BFBFBF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15" w:type="dxa"/>
            <w:gridSpan w:val="2"/>
            <w:shd w:val="clear" w:color="000000" w:fill="BFBFBF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005246" w:rsidRPr="004A5772" w:rsidTr="004A5772">
        <w:trPr>
          <w:trHeight w:val="234"/>
        </w:trPr>
        <w:tc>
          <w:tcPr>
            <w:tcW w:w="527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shd w:val="clear" w:color="000000" w:fill="D9D9D9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34" w:type="dxa"/>
            <w:vMerge w:val="restart"/>
            <w:shd w:val="clear" w:color="000000" w:fill="D9D9D9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43" w:type="dxa"/>
            <w:vMerge w:val="restart"/>
            <w:shd w:val="clear" w:color="000000" w:fill="D9D9D9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25" w:type="dxa"/>
            <w:vMerge w:val="restart"/>
            <w:shd w:val="clear" w:color="000000" w:fill="D9D9D9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843" w:type="dxa"/>
            <w:vMerge w:val="restart"/>
            <w:shd w:val="clear" w:color="000000" w:fill="D9D9D9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72" w:type="dxa"/>
            <w:vMerge w:val="restart"/>
            <w:shd w:val="clear" w:color="000000" w:fill="D9D9D9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4A5772" w:rsidRPr="004A5772" w:rsidTr="004A5772">
        <w:trPr>
          <w:trHeight w:val="234"/>
        </w:trPr>
        <w:tc>
          <w:tcPr>
            <w:tcW w:w="527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005246" w:rsidRPr="00005246" w:rsidRDefault="00005246" w:rsidP="0000524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Ácido fosfórico a 37% +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clorexidina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 2% (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seringa)-</w:t>
            </w:r>
            <w:proofErr w:type="spellStart"/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diclonato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clorexidina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espessante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 corante e água deionizada.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1.600,00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Agente de união primer &amp;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bond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2 em 1, multiuso, com flúor,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monocomponente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para esmalte e dentina.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composto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por: resinas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dimetacrilatoselastoméricas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 penta (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monofosfato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dipentaeritritolpentacrilato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), foto iniciadores, estabilizadores,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hidrofluoreto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cetilamina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 acetona, condicionador dental gel à base de ácido fosfórico na concentração de 37%, tamponado com sílica coloidal.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1.025,00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1.025,00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5.125,00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Adesivo e primer em um só frasco (agente de união de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resinas compostas foto polimerizáveis a estrutura dental).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solvente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à base de água e álcool: não evapora como a acetona; alto rendimento: o frasco de 6g rende até 280 gotas = 280 restaurações; menor espessura de película, em torno de 7 µm, resulta em uma melhor adaptação de restaurações indiretas; sistema adesivo com nanotecnologia, exclusiva plataforma adesivo com 10% em peso de carga (nano partículas de sílica com tamanho de 5 nanômetros).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em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virtude do pequeno tamanho da carga, não é necessário agitar o frasco antes do uso; menor sensibilidade técnica, menor sensibilidade pós-operatória; frasco com tampa “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flip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top”: evita desperdício e pode ser manuseado apenas com uma mão.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75,30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7.530,00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7.530,00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37.650,00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Adesivo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hidrofílico para esmalte e dentina. A base de álcool proporciona uma evaporação menor do que a Acetona.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Monocomponente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– primer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bond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 um único frasco. Carga na formulação que ajuda a fortalecer a camada híbrida. Melhor custo x benefício entre os adesivos hidrofílicos. Contribui para a redução da reincidência da cárie dental. Indicado para restaurações diretas de compósitos,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cerômeros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compômeros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fotopolimerizáveis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cimentação adesiva de restaurações indiretas de cerâmica,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cerômero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de compósito, tipo: facetas,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inlays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onlays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coroas. Apresentação frasco com 5 ml.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1.270,00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6.350,00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Agulha passa fio, de plástico, embalagem c/ 50 unidades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5,60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Anestésico injetável local, cada ml contendo 20 mg de cloridrato de lidocaína, 10 microgramas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epinefrina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também conhecida como adrenalina,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 xml:space="preserve">isento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metilparabeno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 xml:space="preserve">,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envasado em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tubetes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cristal com 1,8 ml e êmbolo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siliconizados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alojados em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blísteres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lacrados com 10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tubetes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cada. Caixas com 50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tubetes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lidocaína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2% com vasoconstritor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epinefrina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70,15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70.150,00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70.150,00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350.750,00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Anestésico tópico em gel, contendo 200mg/g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benzocaína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. Sabor tutti-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frutti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1.665,00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1.665,00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8.325,00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Aplicador descartável confeccionado com minúscula fibra, impedindo o gotejamento até o momento da aplicação.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frasco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100 unidades.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1.620,00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1.620,00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8.100,00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Bicarbonato de sódio para uso odontológico, composição: Pó ultrafino, no mais alto grau de pureza e granulometria ultrafino, impossibilitando entupimento do aparelho. Composto de (NaHCO3) bicarbonato de sódio puro (99%), 105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microns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 sabor natural. Cada sachê com 40 g, caixa com 15 sachês.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2.850,00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14.250,00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carbide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cilíndrica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dentada topo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arredondado nº1557 (alta rotação)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carbide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cilíndrica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dentada topo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arredondado nº1558 (alta rotação)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carbide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02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carbide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carbide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06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carbide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1/2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de baixa rotação / contra ângulo 02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de baixa rotação / contra ângulo 04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de baixa rotação / contra ângulo 06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1011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1012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1013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1014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1015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1016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1019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1031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1032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1033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1034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1035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1036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1090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1091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1092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1093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1094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3097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3098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Broca cirúrgica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zeckria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prata, 28 mm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16,40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1.640,00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1.640,00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8.200,00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2135 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2135 FF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387,50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3118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387,50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3118 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3168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3168 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3195 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3195 FF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3205 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3205 FF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Broca diamantada 3216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Cápsulas para amálgama uma porção –regular, 400 mg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alloy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360 mg de mercúrio por cápsula.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galão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500 unidades 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790,00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39.500,00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Tesoura cirúrgica reta pequena 10 cm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3.100,00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Cimento de hidróxido de cálcio: base composta de éster glicol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salicilato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fosfato de cálcio, óxido de zinco e corantes minerais de 13g. catalizador composto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etiltoluenosulfonamida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 hidróxido de cálcio, óxido de zinco e corantes minerais-tubo de 11g. não dissolva durante a aplicação do adesivo.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825,00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Cimento de ionômero de vidro condensável para uso em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ART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para restaurações em dentes posteriores, quimicamente ativado, ácido/base,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 xml:space="preserve">radiopaco.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composto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por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 xml:space="preserve"> ácidos poli acrílico e tartárico.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boa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estética, de fácil manipulação, com rápido endurecimento, ter biocompatibilidade, grande adesão química, baixa solubilidade, adesão em superfícies úmidas e liberação contínua de flúor, deverá possuir adicionalmente alta resistência à compressão, alta resistência à flexão, dureza de superfície e baixa abrasão.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embalagem deverá conter 10g de pó de cor universal A3 + 8 ml de liquido, 1colher medidora e 1 bloco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espatulação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. comp.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 xml:space="preserve"> pó: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silicato de bário e alumínio, ácido poli acrílico.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desidratado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óxido de ferro.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líquido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: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ácido poli acrílico, ácido tartárico e água destilada.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4.040,00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4.040,00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20.200,00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Cimento de ionômero de vidro de fácil manipulação, modificado com resina para aplicação em restaurações diretas.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apresenta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cura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 xml:space="preserve">tripla.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cura pela luz oferece um maior tempo de trabalho e uma rápida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geleificação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ativação permite que o material se estabilize rapidamente (20 segundos), minimizando a sensibilidade à água durante as fases iniciais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geleificação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alcança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uma forte ligação do ionômero de dente.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libera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flúor na estrutura do dente e a absorção de flúor por este minimizar a incidência de cáries secundárias.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sua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excelente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radiopacidade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facilita o controle radiográfico.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cimento de ionômero de vidro possui grande adesão química, liberação de flúor, biocompatibilidade. comp.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 xml:space="preserve"> pó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: silicato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strôncio-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aluminío,carga</w:t>
            </w:r>
            <w:proofErr w:type="spellEnd"/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ativadores e óxido de ferro.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liquido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: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2-hidroxietil metacrilato, solução aquosa de ácidos poli acrílico e tartárico, peróxido e tartárico, peróxido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benzoila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canforoquinona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8.320,00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8.320,00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41.600,00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Cimento provisório forrador de cavidades. Composição.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Pó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: óxido de zinco a 80,81%, sulfato de bário 16,16%, fosfato de cálcio 2,02%, acetato de zinco 1.01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%.endurecimento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5 a 8 minutos e sem produzir calor, resistência ao atrito, aderência às paredes da cavidade, fraca solubilidade, fácil remoção.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  <w:u w:val="single"/>
              </w:rPr>
              <w:t>Liquido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: essência de cravo da índia (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eugenol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) 95%, e timol 5%.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endurecimento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5 a 8 minutos e sem produzir calor, resistência ao atrito, aderência as paredes da cavidade, fraca solubilidade, fácil remoção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33,50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2.345,00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2.345,00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11.725,00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Cimento de material restaurador intermediário (IRM). Líquido composto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eugenol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99,5%, ácido acético 0,5%, frasco com 15ml, que não esfarele durante o endurecimento da mistura. Pó composto de óxido de zinco, poli metacrilato de metila. Embalagem com 38g e que não esfarele durante o endurecimento da mistura.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1.520,00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1.520,00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7.600,00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Clorexidina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solução a 2% frasco 500 ml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15,40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770,00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Coltosol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- Material para obturações provisórias, pronto para uso, livre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eugenol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que endurece rapidamente na boca ao contato com a saliva. Possui grande aderência garantindo bom isolamento marginal. Não tem efeitos prejudiciais sobre a gengiva e a polpa (produto não irritante). Composição: óxido de zinco, sulfato de zinco, sulfato de cálcio, acetato de polvilha, mentol,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dibutilfitalato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 pote com 20grs.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19,30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4.825,00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Eugenol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10,20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612,00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3.060,00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Extirpa nervo nº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 cartela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12 unidades,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cx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com 150 cartelas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40.000,00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Flúor gel neutro para aplicação 1,23%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740,00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3.700,00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Formocresol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1.065,00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Fucsina básica 0,5% vidro com 500 ml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9.100,00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Hidróxido de cálcio PA – unidade com 10 g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2.000,00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Indicador biológico para autoclave com 10 unidades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6.250,00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Indicador químico a vapor com 25 unidades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Lima endodôntica 1ª série (15 a 40) – 25mm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1.410,00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Lima endodôntica nº 08 - 25 mm, caixa com 6 unidades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1.410,00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Lima endodôntica nº 10 - 25 mm, caixa com 6 unidades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1.410,00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Óxido de zinco – frasco com 50 g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3,55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35,50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177,50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Papel carbono para registro dos contatos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oclusais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– bloco com 12 folhas de carbono dupla face/dupla 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cor  100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MC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Pasta profilática 90g 1.1. Composição: Água,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lauril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sulfato de sódio, carbonato de cálcio, D-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sorbitol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propilenoglicol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fluoreto de sódio,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carboximetilcelulose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sacarina sódica, quartzo, sílica,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metilparabeno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, formaldeído,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polimetilsiloxano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aroma. 1.2. Apresentação 01 bisnaga com 90 g no sabor tutti-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frutti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ou menta.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5.000,00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Paramonoclorofenol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canforado, medicação curativa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intracanal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vidro de 20 ml.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5,20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780,00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Placa de vidro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9,60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960,00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Porta escova dental – para escolares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4,10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82.000,00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Resina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A2 - Compósito micro híbrido com nano partículas, radiopaco,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A composição do produto é uma combinação de zircônia/ sílica de superfície modificada e partículas de sílica de superfície modificada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Carga inorgânica consiste em 81,8 %em peso (67,8% em volume), com tamanho de partículas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sílica e aproximadamente 0.1-10um de zircônia/sílica. Com monômeros BIS-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GMA,UDMA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,BIS-EMA, PEGDMA e TEGDMA. Indicado para uso como restaurador direto de dentes anteriores e posteriores.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12.810,00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Resina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A3 - Compósito micro híbrido com nano partículas, radiopaco,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A composição do produto é uma combinação de zircônia/ sílica de superfície modificada e partículas de sílica de superfície modificada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Carga inorgânica consiste em 81,8 %em peso (67,8% em volume), com tamanho de partículas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sílica e aproximadamente 0.1-10um de zircônia/sílica. Com monômeros BIS-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GMA,UDMA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,BIS-EMA, PEGDMA e TEGDMA. Indicado para uso como restaurador direto de dentes anteriores e posteriores.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12.810,00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Resina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A3, 5 - Compósito micro híbrido com nano partículas, radiopaco,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A composição do produto é uma combinação de zircônia/ sílica de superfície modificada e partículas de sílica de superfície modificada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Carga inorgânica consiste em 81,8 %em peso (67,8% em volume), com tamanho de partículas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sílica e </w:t>
            </w: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aproximadamente 0.1-10um de zircônia/sílica. Com monômeros BIS-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GMA,UDMA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,BIS-EMA, PEGDMA e TEGDMA. Indicado para uso como restaurador direto de dentes anteriores e posteriores.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12.810,00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Resina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B2 - Compósito micro híbrido com nano partículas, radiopaco, 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fotopolimerizável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A composição do produto é uma combinação de zircônia/ sílica de superfície modificada e partículas de sílica de superfície modificada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. Carga inorgânica consiste em 81,8 %em peso (67,8% em volume), com tamanho de partículas de 20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nm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sílica e aproximadamente 0.1-10um de zircônia/sílica. Com monômeros BIS-</w:t>
            </w:r>
            <w:proofErr w:type="gram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GMA,UDMA</w:t>
            </w:r>
            <w:proofErr w:type="gram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,BIS-EMA, PEGDMA e TEGDMA. Indicado para uso como restaurador direto de dentes anteriores e posteriores.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right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2.562,00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12.810,00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Verniz com fluoreto de sódio e cálcio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591,00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591,00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2.955,00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Verniz forrador de cavidades com líquido claro ou ligeiramente amarelado, volátil com forte odor característico. Composto por nitrocelulose 8g% e excipientes acetato de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etila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álcool etílico. Secagem rápida, utilizado para forração de cavidades e proteção das restaurações a silicato.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17,30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2.595,00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2.595,00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12.975,00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Afastador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minesota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7,35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36,75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36,75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183,75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Alavanca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seldin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reta nº 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Alavanca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seldin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1R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Alavanca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seldin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1L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Alavanca apical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anodizado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nº 301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19,60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980,00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Aplicador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dycal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duplo angulado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Aplicador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dycal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reto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Brunidor nº29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1.412,50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Brunidor nº33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6,15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307,50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307,50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1.537,50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Calcador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eames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171,00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855,00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Colher de dentina nº5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270,00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Colher de dentina nº11 ½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5,40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270,00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Cureta de Lucas nº85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6,15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123,00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615,00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Condensador duplo de amálgama nº 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169,50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169,50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847,50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Condensador duplo de amálgama nº2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169,50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169,50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847,50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Destiladeira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água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10.500,00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Esculpidor hollenback3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825,00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Esculpidor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hollenback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3s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Esculpidor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interproximal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18,15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363,00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363,00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1.815,00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Espátula simples nº22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670,00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Espátula para resina 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6,70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268,00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1.340,00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Espelho bucal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autoclavável</w:t>
            </w:r>
            <w:proofErr w:type="spellEnd"/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2,60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3.900,00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nº101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nº150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nº151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infantil nº17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nº18L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nº18R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adulto nº69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nº65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infantil nº18L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infantil nº18R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Fórceps infantil nº69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1.710,00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8.550,00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PONTAS PARA APARELHO DE ULTRASSOM (INSERTOS OU TIPS) –10P. Remoção de tártaro em todas as superfícies dos dentes e superfícies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subgengivais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bolsas periodontais rasas. Devem ser da marca do aparelho conjugado. Garantia de no mínimo um ano. Apresentar Certificado de Boas Práticas de Fabricação e Controle -BPF. Autorização de funcionamento de empresa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dofabricante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 registro do produto no MS ou ANVISA.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2.750,00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PONTAS PARA APARELHO DE ULTRASSOM (INSERTOS OU TIPS) – Universal. Remoção de tártaro em todas as superfícies dos dentes e superfícies </w:t>
            </w:r>
            <w:proofErr w:type="spellStart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subgengivais</w:t>
            </w:r>
            <w:proofErr w:type="spellEnd"/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bolsas periodontais rasas. Devem ser da marca do aparelho conjugado. Garantia de no mínimo um ano. Apresentar Certificado de Boas Práticas de Fabricação e Controle - BPF. Autorização de funcionamento de empresa do fabricante e registro do produto no MS ou ANVISA.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550,00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2.750,00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Porta brocas de metal com tampa 30 furos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880,00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4.400,00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Sonda exploradora nº5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282,50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1.412,50</w:t>
            </w:r>
          </w:p>
        </w:tc>
      </w:tr>
      <w:tr w:rsidR="00005246" w:rsidRPr="004A5772" w:rsidTr="004A5772">
        <w:trPr>
          <w:trHeight w:val="20"/>
        </w:trPr>
        <w:tc>
          <w:tcPr>
            <w:tcW w:w="527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Tesoura cirúrgica curva pequena 10 cm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005246" w:rsidRPr="00005246" w:rsidRDefault="00005246" w:rsidP="0000524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843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005246" w:rsidRPr="00005246" w:rsidRDefault="00005246" w:rsidP="004A5772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005246">
              <w:rPr>
                <w:rFonts w:ascii="Cambria" w:hAnsi="Cambria" w:cs="Calibri"/>
                <w:color w:val="000000"/>
                <w:sz w:val="16"/>
                <w:szCs w:val="16"/>
              </w:rPr>
              <w:t>3.000,00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lastRenderedPageBreak/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proofErr w:type="gramStart"/>
      <w:r w:rsidRPr="00094E69">
        <w:rPr>
          <w:rFonts w:ascii="Cambria" w:hAnsi="Cambria" w:cs="Arial"/>
          <w:b/>
          <w:bCs/>
        </w:rPr>
        <w:t>onde</w:t>
      </w:r>
      <w:proofErr w:type="gramEnd"/>
      <w:r w:rsidRPr="00094E69">
        <w:rPr>
          <w:rFonts w:ascii="Cambria" w:hAnsi="Cambria" w:cs="Arial"/>
          <w:b/>
          <w:bCs/>
        </w:rPr>
        <w:t>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273022" w:rsidRPr="00173E14">
        <w:rPr>
          <w:rFonts w:ascii="Cambria" w:hAnsi="Cambria"/>
          <w:color w:val="000000"/>
          <w:szCs w:val="24"/>
        </w:rPr>
        <w:t>011/2020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lastRenderedPageBreak/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273022" w:rsidRPr="00173E14">
        <w:rPr>
          <w:rFonts w:ascii="Cambria" w:hAnsi="Cambria" w:cs="Arial"/>
          <w:color w:val="000000"/>
        </w:rPr>
        <w:t>011/2020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center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380C12">
        <w:rPr>
          <w:rFonts w:ascii="Cambria" w:hAnsi="Cambria"/>
          <w:color w:val="000000"/>
          <w:szCs w:val="24"/>
        </w:rPr>
        <w:t>05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380C12" w:rsidRPr="00380C12" w:rsidRDefault="00380C12" w:rsidP="00380C12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380C12">
        <w:rPr>
          <w:rFonts w:ascii="Cambria" w:hAnsi="Cambria" w:cs="Arial"/>
          <w:b/>
          <w:i/>
          <w:color w:val="000000"/>
        </w:rPr>
        <w:t xml:space="preserve">Mário Reis </w:t>
      </w:r>
      <w:proofErr w:type="spellStart"/>
      <w:r w:rsidRPr="00380C12">
        <w:rPr>
          <w:rFonts w:ascii="Cambria" w:hAnsi="Cambria" w:cs="Arial"/>
          <w:b/>
          <w:i/>
          <w:color w:val="000000"/>
        </w:rPr>
        <w:t>Filgueiras</w:t>
      </w:r>
      <w:proofErr w:type="spellEnd"/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380C12" w:rsidRDefault="00C85D6B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 xml:space="preserve">Dental Universo </w:t>
      </w:r>
      <w:proofErr w:type="spellStart"/>
      <w:r>
        <w:rPr>
          <w:rFonts w:ascii="Cambria" w:hAnsi="Cambria" w:cs="Arial"/>
          <w:b/>
          <w:i/>
          <w:color w:val="000000"/>
        </w:rPr>
        <w:t>Eireli</w:t>
      </w:r>
      <w:proofErr w:type="spellEnd"/>
    </w:p>
    <w:p w:rsidR="00961925" w:rsidRPr="00173E14" w:rsidRDefault="00380C12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bookmarkStart w:id="0" w:name="_GoBack"/>
      <w:bookmarkEnd w:id="0"/>
      <w:r>
        <w:rPr>
          <w:rFonts w:ascii="Cambria" w:hAnsi="Cambria" w:cs="Arial"/>
          <w:color w:val="000000"/>
        </w:rPr>
        <w:t xml:space="preserve">CNPJ/MF </w:t>
      </w:r>
      <w:r w:rsidR="00C85D6B">
        <w:rPr>
          <w:rFonts w:ascii="Cambria" w:hAnsi="Cambria" w:cs="Arial"/>
          <w:color w:val="000000"/>
        </w:rPr>
        <w:t>26.395.502/0001-52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A4" w:rsidRDefault="005F28A4">
      <w:r>
        <w:separator/>
      </w:r>
    </w:p>
  </w:endnote>
  <w:endnote w:type="continuationSeparator" w:id="0">
    <w:p w:rsidR="005F28A4" w:rsidRDefault="005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AC" w:rsidRDefault="00B940AC" w:rsidP="003B2DA6">
    <w:pPr>
      <w:pStyle w:val="Rodap"/>
      <w:ind w:left="-142"/>
      <w:jc w:val="center"/>
      <w:rPr>
        <w:sz w:val="24"/>
      </w:rPr>
    </w:pPr>
    <w:r>
      <w:t>AV. FRANCISCO VALADARES DA FONSECA, 250</w:t>
    </w:r>
    <w:r w:rsidR="003B2DA6">
      <w:t xml:space="preserve"> </w:t>
    </w:r>
    <w:r>
      <w:t xml:space="preserve">– </w:t>
    </w:r>
    <w:r w:rsidR="003B2DA6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A4" w:rsidRDefault="005F28A4">
      <w:r>
        <w:separator/>
      </w:r>
    </w:p>
  </w:footnote>
  <w:footnote w:type="continuationSeparator" w:id="0">
    <w:p w:rsidR="005F28A4" w:rsidRDefault="005F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B940AC" w:rsidRDefault="00B940AC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05246"/>
    <w:rsid w:val="00005632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AEC"/>
    <w:rsid w:val="00083DD1"/>
    <w:rsid w:val="0008701C"/>
    <w:rsid w:val="00094E69"/>
    <w:rsid w:val="00095633"/>
    <w:rsid w:val="000E427B"/>
    <w:rsid w:val="000E479B"/>
    <w:rsid w:val="0010144B"/>
    <w:rsid w:val="00171F3F"/>
    <w:rsid w:val="00173E14"/>
    <w:rsid w:val="00185E0E"/>
    <w:rsid w:val="001A15A9"/>
    <w:rsid w:val="001A5F93"/>
    <w:rsid w:val="001B5D1E"/>
    <w:rsid w:val="001D46C5"/>
    <w:rsid w:val="00200713"/>
    <w:rsid w:val="00210FD8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103EC"/>
    <w:rsid w:val="003209D5"/>
    <w:rsid w:val="003243CA"/>
    <w:rsid w:val="003457EA"/>
    <w:rsid w:val="00346EE3"/>
    <w:rsid w:val="00357D85"/>
    <w:rsid w:val="00380C12"/>
    <w:rsid w:val="00394365"/>
    <w:rsid w:val="0039711B"/>
    <w:rsid w:val="003B0F42"/>
    <w:rsid w:val="003B2DA6"/>
    <w:rsid w:val="003C5BCC"/>
    <w:rsid w:val="003C6857"/>
    <w:rsid w:val="003C72FB"/>
    <w:rsid w:val="003D1005"/>
    <w:rsid w:val="003F46E8"/>
    <w:rsid w:val="003F55D1"/>
    <w:rsid w:val="004114C2"/>
    <w:rsid w:val="004168B8"/>
    <w:rsid w:val="00426E3D"/>
    <w:rsid w:val="00444E25"/>
    <w:rsid w:val="004526D9"/>
    <w:rsid w:val="004539B5"/>
    <w:rsid w:val="00460ED7"/>
    <w:rsid w:val="004868C0"/>
    <w:rsid w:val="004A0C06"/>
    <w:rsid w:val="004A5772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73148"/>
    <w:rsid w:val="005937A6"/>
    <w:rsid w:val="005A0CC7"/>
    <w:rsid w:val="005A3440"/>
    <w:rsid w:val="005E4232"/>
    <w:rsid w:val="005F28A4"/>
    <w:rsid w:val="005F7E83"/>
    <w:rsid w:val="00614622"/>
    <w:rsid w:val="00647358"/>
    <w:rsid w:val="00656F20"/>
    <w:rsid w:val="0066409A"/>
    <w:rsid w:val="006709C5"/>
    <w:rsid w:val="00694DC5"/>
    <w:rsid w:val="006A06B2"/>
    <w:rsid w:val="006C3979"/>
    <w:rsid w:val="006D7103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EC9"/>
    <w:rsid w:val="007B5DF6"/>
    <w:rsid w:val="007C3315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6E6C"/>
    <w:rsid w:val="008E594C"/>
    <w:rsid w:val="009279C8"/>
    <w:rsid w:val="00934867"/>
    <w:rsid w:val="009615FB"/>
    <w:rsid w:val="00961925"/>
    <w:rsid w:val="00980456"/>
    <w:rsid w:val="009B1C3D"/>
    <w:rsid w:val="009C09EF"/>
    <w:rsid w:val="009D484C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82815"/>
    <w:rsid w:val="00AC0E53"/>
    <w:rsid w:val="00AC65DE"/>
    <w:rsid w:val="00AD0F4F"/>
    <w:rsid w:val="00AD2662"/>
    <w:rsid w:val="00B00BE4"/>
    <w:rsid w:val="00B24262"/>
    <w:rsid w:val="00B27EB9"/>
    <w:rsid w:val="00B328B9"/>
    <w:rsid w:val="00B32E89"/>
    <w:rsid w:val="00B92C88"/>
    <w:rsid w:val="00B940AC"/>
    <w:rsid w:val="00BA129C"/>
    <w:rsid w:val="00BA3FC8"/>
    <w:rsid w:val="00BA623F"/>
    <w:rsid w:val="00BD06EE"/>
    <w:rsid w:val="00C31066"/>
    <w:rsid w:val="00C37DC7"/>
    <w:rsid w:val="00C513D4"/>
    <w:rsid w:val="00C80443"/>
    <w:rsid w:val="00C85D6B"/>
    <w:rsid w:val="00CD19D5"/>
    <w:rsid w:val="00CE7F25"/>
    <w:rsid w:val="00CF5B1A"/>
    <w:rsid w:val="00D01E09"/>
    <w:rsid w:val="00D17C0D"/>
    <w:rsid w:val="00D358F0"/>
    <w:rsid w:val="00D55E83"/>
    <w:rsid w:val="00DC18A7"/>
    <w:rsid w:val="00DE2653"/>
    <w:rsid w:val="00DE3EED"/>
    <w:rsid w:val="00DE67DD"/>
    <w:rsid w:val="00DF1244"/>
    <w:rsid w:val="00DF46D5"/>
    <w:rsid w:val="00E31A99"/>
    <w:rsid w:val="00E548A9"/>
    <w:rsid w:val="00E83D4F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71E73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font6">
    <w:name w:val="font6"/>
    <w:basedOn w:val="Normal"/>
    <w:rsid w:val="00005246"/>
    <w:pPr>
      <w:spacing w:before="100" w:beforeAutospacing="1" w:after="100" w:afterAutospacing="1"/>
    </w:pPr>
    <w:rPr>
      <w:rFonts w:ascii="Cambria" w:hAnsi="Cambria" w:cs="Times New Roman"/>
      <w:color w:val="00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4690</Words>
  <Characters>25328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5</cp:revision>
  <cp:lastPrinted>2019-03-15T12:10:00Z</cp:lastPrinted>
  <dcterms:created xsi:type="dcterms:W3CDTF">2020-05-18T13:45:00Z</dcterms:created>
  <dcterms:modified xsi:type="dcterms:W3CDTF">2020-05-18T15:03:00Z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