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73022" w:rsidRPr="00173E14">
        <w:rPr>
          <w:rFonts w:ascii="Cambria" w:hAnsi="Cambria"/>
          <w:b/>
          <w:color w:val="000000"/>
          <w:szCs w:val="24"/>
        </w:rPr>
        <w:t>024/2020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273022" w:rsidRPr="00173E14">
        <w:rPr>
          <w:rFonts w:ascii="Cambria" w:hAnsi="Cambria"/>
          <w:b/>
          <w:color w:val="000000"/>
          <w:szCs w:val="24"/>
        </w:rPr>
        <w:t>011/2020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357D85">
        <w:rPr>
          <w:rFonts w:ascii="Cambria" w:hAnsi="Cambria"/>
          <w:color w:val="000000"/>
          <w:szCs w:val="24"/>
        </w:rPr>
        <w:t>010/2020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273022" w:rsidRPr="00173E14">
        <w:rPr>
          <w:rFonts w:ascii="Cambria" w:hAnsi="Cambria"/>
          <w:color w:val="000000"/>
          <w:szCs w:val="24"/>
        </w:rPr>
        <w:t>024/2020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E31A99">
        <w:rPr>
          <w:rFonts w:ascii="Cambria" w:hAnsi="Cambria" w:cs="Arial"/>
          <w:color w:val="000000"/>
        </w:rPr>
        <w:t>05 (cinco)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E31A99">
        <w:rPr>
          <w:rFonts w:ascii="Cambria" w:hAnsi="Cambria" w:cs="Arial"/>
          <w:color w:val="000000"/>
        </w:rPr>
        <w:t xml:space="preserve">março </w:t>
      </w:r>
      <w:r w:rsidRPr="00173E14">
        <w:rPr>
          <w:rFonts w:ascii="Cambria" w:hAnsi="Cambria" w:cs="Arial"/>
          <w:color w:val="000000"/>
        </w:rPr>
        <w:t xml:space="preserve">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31A9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E31A99">
        <w:rPr>
          <w:rFonts w:ascii="Cambria" w:hAnsi="Cambria" w:cs="Arial"/>
          <w:color w:val="000000"/>
        </w:rPr>
        <w:t xml:space="preserve">Mário Reis </w:t>
      </w:r>
      <w:proofErr w:type="spellStart"/>
      <w:r w:rsidR="00E31A99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73022" w:rsidRPr="00173E14">
        <w:rPr>
          <w:rFonts w:ascii="Cambria" w:hAnsi="Cambria" w:cs="Arial"/>
          <w:color w:val="000000"/>
        </w:rPr>
        <w:t>011/2020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73022" w:rsidRPr="00173E14">
        <w:rPr>
          <w:rFonts w:ascii="Cambria" w:hAnsi="Cambria" w:cs="Arial"/>
          <w:color w:val="000000"/>
        </w:rPr>
        <w:t>024/2020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9201D9">
        <w:rPr>
          <w:rFonts w:ascii="Cambria" w:hAnsi="Cambria" w:cs="Arial"/>
          <w:b/>
          <w:color w:val="000000"/>
        </w:rPr>
        <w:t>BETANIAMED COMERCIAL EIRELI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9201D9">
        <w:rPr>
          <w:rFonts w:ascii="Cambria" w:hAnsi="Cambria" w:cs="Arial"/>
          <w:color w:val="000000"/>
        </w:rPr>
        <w:t>Rua Antônio Gravata, nº. 80, bairro Cinquentenário, Belo Horizonte/MG, CEP 30.570-040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9201D9">
        <w:rPr>
          <w:rFonts w:ascii="Cambria" w:hAnsi="Cambria" w:cs="Arial"/>
          <w:color w:val="000000"/>
        </w:rPr>
        <w:t>09.560.267/0001-08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9201D9">
        <w:rPr>
          <w:rFonts w:ascii="Cambria" w:hAnsi="Cambria" w:cs="Arial"/>
          <w:color w:val="000000"/>
        </w:rPr>
        <w:t>Leonardo Antônio Rodrigues Cury</w:t>
      </w:r>
      <w:r w:rsidR="004168B8">
        <w:rPr>
          <w:rFonts w:ascii="Cambria" w:hAnsi="Cambria" w:cs="Arial"/>
          <w:color w:val="000000"/>
        </w:rPr>
        <w:t xml:space="preserve">, inscrito no CPF/MF sob o nº. </w:t>
      </w:r>
      <w:r w:rsidR="009201D9">
        <w:rPr>
          <w:rFonts w:ascii="Cambria" w:hAnsi="Cambria" w:cs="Arial"/>
          <w:color w:val="000000"/>
        </w:rPr>
        <w:t>758.729.606-97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933"/>
        <w:gridCol w:w="866"/>
        <w:gridCol w:w="939"/>
        <w:gridCol w:w="1088"/>
        <w:gridCol w:w="959"/>
        <w:gridCol w:w="1069"/>
        <w:gridCol w:w="959"/>
        <w:gridCol w:w="1075"/>
      </w:tblGrid>
      <w:tr w:rsidR="009201D9" w:rsidRPr="009201D9" w:rsidTr="009201D9">
        <w:trPr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55" w:type="dxa"/>
            <w:gridSpan w:val="7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9201D9" w:rsidRPr="009201D9" w:rsidTr="009201D9">
        <w:trPr>
          <w:trHeight w:val="20"/>
        </w:trPr>
        <w:tc>
          <w:tcPr>
            <w:tcW w:w="532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3" w:type="dxa"/>
            <w:gridSpan w:val="3"/>
            <w:shd w:val="clear" w:color="000000" w:fill="BFBFB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28" w:type="dxa"/>
            <w:gridSpan w:val="2"/>
            <w:shd w:val="clear" w:color="000000" w:fill="BFBFB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34" w:type="dxa"/>
            <w:gridSpan w:val="2"/>
            <w:shd w:val="clear" w:color="000000" w:fill="BFBFB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201D9" w:rsidRPr="009201D9" w:rsidTr="009201D9">
        <w:trPr>
          <w:trHeight w:val="234"/>
        </w:trPr>
        <w:tc>
          <w:tcPr>
            <w:tcW w:w="532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vMerge w:val="restart"/>
            <w:shd w:val="clear" w:color="000000" w:fill="D9D9D9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88" w:type="dxa"/>
            <w:vMerge w:val="restart"/>
            <w:shd w:val="clear" w:color="000000" w:fill="D9D9D9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69" w:type="dxa"/>
            <w:vMerge w:val="restart"/>
            <w:shd w:val="clear" w:color="000000" w:fill="D9D9D9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5" w:type="dxa"/>
            <w:vMerge w:val="restart"/>
            <w:shd w:val="clear" w:color="000000" w:fill="D9D9D9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9201D9" w:rsidRPr="009201D9" w:rsidTr="009201D9">
        <w:trPr>
          <w:trHeight w:val="234"/>
        </w:trPr>
        <w:tc>
          <w:tcPr>
            <w:tcW w:w="532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9201D9" w:rsidRPr="009201D9" w:rsidRDefault="009201D9" w:rsidP="009201D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9201D9" w:rsidRPr="009201D9" w:rsidTr="009201D9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Amalgamador de cápsulas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1.557,00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1.557,00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7.785,00</w:t>
            </w:r>
          </w:p>
        </w:tc>
      </w:tr>
      <w:tr w:rsidR="009201D9" w:rsidRPr="009201D9" w:rsidTr="009201D9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Aparelho conjugado de ultrassom com jato de bicarbonato Equipamento para profilaxia com ultrassom e jato de bicarbonato, montado em conjunto composto de corpo e tampa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confeccionadosem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poliestireno e painel principal em policarbonato. Potenciômetro de ajuste fino para regulagem exata da potência ultrassônica. Capa do transdutor, ponta jato de bicarbonato e insertos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autoclaváveis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Sistema eletro pneumático sincronizado, com válvulas que proporcionam cortes e aspirações da água instantaneamente, </w:t>
            </w: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evitando assim o contato da água com o bicarbonato na ponta da peça de mão. Sistema de interrupção do jato de bicarbonato com um módulo de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antiaglutinação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que evita o entupimento nas válvulas. Despressurização interna através de varredura automática do bicarbonato, das válvulas até a peça de mão. Filtro de ar com drenagem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automática.Recipiente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bicarbonato de fácil limpeza, com acesso lateral que permite a sua remoção sem a necessidade de virar todo o equipamento para retirada das sobras do pó de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bicarbonato.Registros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água e ar com ajustes de sensibilidade que possibilitam adequar à necessidade de cada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operação.Tecla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seletora para função de ultrassom – jato de bicarbonato. Transformador blindado para evitar penetração de bicarbonato. Aplicações funcionais: endodontia, periodontia,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dentística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prótes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Apresentar Certificado de Boas Práticas de Fabricação e Controle - BPF. Autorização de funcionamento de empresa do fabricante e registro do produto no MS ou ANVISA.-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1.465,00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2.930,00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2.930,00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14.650,00</w:t>
            </w:r>
          </w:p>
        </w:tc>
      </w:tr>
      <w:tr w:rsidR="009201D9" w:rsidRPr="009201D9" w:rsidTr="009201D9">
        <w:trPr>
          <w:trHeight w:val="2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Caneta de alta rotação com rolamento de cerâmica de alta resistência, que garante 25% a mais de durabilidade. Funcionamento mais suave: rotores balanceados um a um, dentro de limite de qualidade altamente rígidos e 100% testados. O baixo nível de vibração garante menos fadiga ao profissional e maior precisão no procedimento. Peso ideal de 59g - um peso reduzido e equilibrado entre instrumento e mangueira, o que impede a força contrária em relação ao </w:t>
            </w: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movimento da turbina no dente. Menos fadiga e maior segurança ao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procedimento.Spray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quádruplo: propicia excelente refrigeração em todos os quadrantes da broca. Mais silenciosa: 62 decibéis. Sistemas de troca brocas: disponível na versão Press-Button (PB). Acoplamento: BORDEN Fabricado em Latão Potência: 13W Rolamento: esfera em cerâmica Rotação máxima: 370.000 rpm. Tratamento superficial em níquel químico. Garantia de 12 meses.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23.750,00</w:t>
            </w:r>
          </w:p>
        </w:tc>
      </w:tr>
      <w:tr w:rsidR="009201D9" w:rsidRPr="009201D9" w:rsidTr="009201D9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Contra-ângulo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Sistema tipo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intra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torque e rotação transmitidos à broca através de um conjunto de eixos e engrenagens com relação de transmissão 1:1; ângulo de 20º entre o eixo e o pescoço da cabeça; eixo principal de suporte de brocas apoiado sobre rolamentos de esferas; pinça mecânica; trava da broca por lâmina de aço temperada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deslocável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lateralmente em ângulo; pinça adaptadora de brocas tipo FG; dimensões reduzidas com fácil acesso a todo os quadrantes da cavidade oral; corpo em alumínio e latão, giro livre de 360º sobre o micromotor; sistema de refrigeração através de spray; esterilização através de autoclave até 135º C e 2,2 bar.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24.750,00</w:t>
            </w:r>
          </w:p>
        </w:tc>
      </w:tr>
      <w:tr w:rsidR="009201D9" w:rsidRPr="009201D9" w:rsidTr="009201D9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Micro motor para acionamento das peças. Rotação máxima de acionamento 20.000 rpm com inversão de rotação. Acoplamento Bordem (dois furos) com regulagem do spray na mangueira. Pressão de entrada </w:t>
            </w:r>
            <w:proofErr w:type="gram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2,2 bar</w:t>
            </w:r>
            <w:proofErr w:type="gram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(32 libras/pol²). Esterilizável por mais de 1000 ciclos em autoclave. Spray interno 5.000 a 20.000 rpm. Sistema </w:t>
            </w:r>
            <w:proofErr w:type="spell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INTRAmatic</w:t>
            </w:r>
            <w:proofErr w:type="spell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1.000 ciclos de </w:t>
            </w:r>
            <w:proofErr w:type="gramStart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esterilização .Sentido</w:t>
            </w:r>
            <w:proofErr w:type="gramEnd"/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rotação ajustável. Baixo nível de ruído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9201D9" w:rsidRPr="009201D9" w:rsidRDefault="009201D9" w:rsidP="009201D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201D9">
              <w:rPr>
                <w:rFonts w:ascii="Cambria" w:hAnsi="Cambria" w:cs="Calibri"/>
                <w:color w:val="000000"/>
                <w:sz w:val="16"/>
                <w:szCs w:val="16"/>
              </w:rPr>
              <w:t>16.500,00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094E69">
        <w:rPr>
          <w:rFonts w:ascii="Cambria" w:hAnsi="Cambria" w:cs="Arial"/>
          <w:b/>
          <w:bCs/>
        </w:rPr>
        <w:t>onde</w:t>
      </w:r>
      <w:proofErr w:type="gramEnd"/>
      <w:r w:rsidRPr="00094E69">
        <w:rPr>
          <w:rFonts w:ascii="Cambria" w:hAnsi="Cambria" w:cs="Arial"/>
          <w:b/>
          <w:bCs/>
        </w:rPr>
        <w:t>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273022" w:rsidRPr="00173E14">
        <w:rPr>
          <w:rFonts w:ascii="Cambria" w:hAnsi="Cambria" w:cs="Arial"/>
          <w:color w:val="000000"/>
        </w:rPr>
        <w:t>011/2020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380C12">
        <w:rPr>
          <w:rFonts w:ascii="Cambria" w:hAnsi="Cambria"/>
          <w:color w:val="000000"/>
          <w:szCs w:val="24"/>
        </w:rPr>
        <w:t>05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380C12" w:rsidRPr="00380C12" w:rsidRDefault="00380C12" w:rsidP="00380C12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380C12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380C12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380C12" w:rsidRDefault="009201D9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proofErr w:type="spellStart"/>
      <w:r>
        <w:rPr>
          <w:rFonts w:ascii="Cambria" w:hAnsi="Cambria" w:cs="Arial"/>
          <w:b/>
          <w:i/>
          <w:color w:val="000000"/>
        </w:rPr>
        <w:t>Betaniamed</w:t>
      </w:r>
      <w:proofErr w:type="spellEnd"/>
      <w:r>
        <w:rPr>
          <w:rFonts w:ascii="Cambria" w:hAnsi="Cambria" w:cs="Arial"/>
          <w:b/>
          <w:i/>
          <w:color w:val="000000"/>
        </w:rPr>
        <w:t xml:space="preserve"> Comercial </w:t>
      </w:r>
      <w:proofErr w:type="spellStart"/>
      <w:r>
        <w:rPr>
          <w:rFonts w:ascii="Cambria" w:hAnsi="Cambria" w:cs="Arial"/>
          <w:b/>
          <w:i/>
          <w:color w:val="000000"/>
        </w:rPr>
        <w:t>Eireli</w:t>
      </w:r>
      <w:proofErr w:type="spellEnd"/>
    </w:p>
    <w:p w:rsidR="00961925" w:rsidRPr="00173E14" w:rsidRDefault="00380C12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9201D9">
        <w:rPr>
          <w:rFonts w:ascii="Cambria" w:hAnsi="Cambria" w:cs="Arial"/>
          <w:color w:val="000000"/>
        </w:rPr>
        <w:t>09.560.267/0001-08</w:t>
      </w: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1E" w:rsidRDefault="0082311E">
      <w:r>
        <w:separator/>
      </w:r>
    </w:p>
  </w:endnote>
  <w:endnote w:type="continuationSeparator" w:id="0">
    <w:p w:rsidR="0082311E" w:rsidRDefault="0082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D9" w:rsidRDefault="009201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AC" w:rsidRPr="009201D9" w:rsidRDefault="00B940AC" w:rsidP="003B2DA6">
    <w:pPr>
      <w:pStyle w:val="Rodap"/>
      <w:ind w:left="-142"/>
      <w:jc w:val="center"/>
      <w:rPr>
        <w:sz w:val="20"/>
        <w:szCs w:val="20"/>
      </w:rPr>
    </w:pPr>
    <w:bookmarkStart w:id="0" w:name="_GoBack"/>
    <w:r w:rsidRPr="009201D9">
      <w:rPr>
        <w:sz w:val="20"/>
        <w:szCs w:val="20"/>
      </w:rPr>
      <w:t>AV. FRANCISCO VALADARES DA FONSECA, 250</w:t>
    </w:r>
    <w:r w:rsidR="003B2DA6" w:rsidRPr="009201D9">
      <w:rPr>
        <w:sz w:val="20"/>
        <w:szCs w:val="20"/>
      </w:rPr>
      <w:t xml:space="preserve"> </w:t>
    </w:r>
    <w:r w:rsidRPr="009201D9">
      <w:rPr>
        <w:sz w:val="20"/>
        <w:szCs w:val="20"/>
      </w:rPr>
      <w:t xml:space="preserve">– </w:t>
    </w:r>
    <w:r w:rsidR="003B2DA6" w:rsidRPr="009201D9">
      <w:rPr>
        <w:sz w:val="20"/>
        <w:szCs w:val="20"/>
      </w:rPr>
      <w:t>VASCO LOPES</w:t>
    </w:r>
    <w:r w:rsidRPr="009201D9">
      <w:rPr>
        <w:sz w:val="20"/>
        <w:szCs w:val="20"/>
      </w:rPr>
      <w:t xml:space="preserve"> – CEP 35669-000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D9" w:rsidRDefault="009201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1E" w:rsidRDefault="0082311E">
      <w:r>
        <w:separator/>
      </w:r>
    </w:p>
  </w:footnote>
  <w:footnote w:type="continuationSeparator" w:id="0">
    <w:p w:rsidR="0082311E" w:rsidRDefault="0082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D9" w:rsidRDefault="009201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B940AC" w:rsidRDefault="00B940AC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D9" w:rsidRDefault="009201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05246"/>
    <w:rsid w:val="00005632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AEC"/>
    <w:rsid w:val="00083DD1"/>
    <w:rsid w:val="0008701C"/>
    <w:rsid w:val="00094E69"/>
    <w:rsid w:val="00095633"/>
    <w:rsid w:val="000E427B"/>
    <w:rsid w:val="000E479B"/>
    <w:rsid w:val="0010144B"/>
    <w:rsid w:val="00171F3F"/>
    <w:rsid w:val="00173E14"/>
    <w:rsid w:val="00185E0E"/>
    <w:rsid w:val="001A15A9"/>
    <w:rsid w:val="001A5F93"/>
    <w:rsid w:val="001B5D1E"/>
    <w:rsid w:val="001D46C5"/>
    <w:rsid w:val="00200713"/>
    <w:rsid w:val="00210FD8"/>
    <w:rsid w:val="00247BEF"/>
    <w:rsid w:val="00254F77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103EC"/>
    <w:rsid w:val="003209D5"/>
    <w:rsid w:val="003243CA"/>
    <w:rsid w:val="003457EA"/>
    <w:rsid w:val="00346EE3"/>
    <w:rsid w:val="00357D85"/>
    <w:rsid w:val="00380C12"/>
    <w:rsid w:val="00394365"/>
    <w:rsid w:val="0039711B"/>
    <w:rsid w:val="003B0F42"/>
    <w:rsid w:val="003B2DA6"/>
    <w:rsid w:val="003C5BCC"/>
    <w:rsid w:val="003C6857"/>
    <w:rsid w:val="003C72FB"/>
    <w:rsid w:val="003D1005"/>
    <w:rsid w:val="003F46E8"/>
    <w:rsid w:val="003F55D1"/>
    <w:rsid w:val="004114C2"/>
    <w:rsid w:val="004168B8"/>
    <w:rsid w:val="00426E3D"/>
    <w:rsid w:val="00444E25"/>
    <w:rsid w:val="004526D9"/>
    <w:rsid w:val="004539B5"/>
    <w:rsid w:val="00460ED7"/>
    <w:rsid w:val="004868C0"/>
    <w:rsid w:val="004A0C06"/>
    <w:rsid w:val="004A5772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73148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D7103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5DF6"/>
    <w:rsid w:val="007C3315"/>
    <w:rsid w:val="007D35B8"/>
    <w:rsid w:val="007E65F8"/>
    <w:rsid w:val="007E7333"/>
    <w:rsid w:val="007F6918"/>
    <w:rsid w:val="008020A0"/>
    <w:rsid w:val="00804E05"/>
    <w:rsid w:val="008105C9"/>
    <w:rsid w:val="00816A61"/>
    <w:rsid w:val="0082311E"/>
    <w:rsid w:val="00823D9E"/>
    <w:rsid w:val="00844F2C"/>
    <w:rsid w:val="00853118"/>
    <w:rsid w:val="008537C3"/>
    <w:rsid w:val="00865AE6"/>
    <w:rsid w:val="008763DC"/>
    <w:rsid w:val="00891BB4"/>
    <w:rsid w:val="008A4BCA"/>
    <w:rsid w:val="008D6E6C"/>
    <w:rsid w:val="008E594C"/>
    <w:rsid w:val="009201D9"/>
    <w:rsid w:val="009279C8"/>
    <w:rsid w:val="00934867"/>
    <w:rsid w:val="009615FB"/>
    <w:rsid w:val="00961925"/>
    <w:rsid w:val="00980456"/>
    <w:rsid w:val="009B1C3D"/>
    <w:rsid w:val="009C09EF"/>
    <w:rsid w:val="009D484C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82815"/>
    <w:rsid w:val="00AC0E53"/>
    <w:rsid w:val="00AC65DE"/>
    <w:rsid w:val="00AD0F4F"/>
    <w:rsid w:val="00AD2662"/>
    <w:rsid w:val="00B00BE4"/>
    <w:rsid w:val="00B24262"/>
    <w:rsid w:val="00B27EB9"/>
    <w:rsid w:val="00B328B9"/>
    <w:rsid w:val="00B32E89"/>
    <w:rsid w:val="00B92C88"/>
    <w:rsid w:val="00B940AC"/>
    <w:rsid w:val="00BA129C"/>
    <w:rsid w:val="00BA3FC8"/>
    <w:rsid w:val="00BA623F"/>
    <w:rsid w:val="00BD06EE"/>
    <w:rsid w:val="00C31066"/>
    <w:rsid w:val="00C37DC7"/>
    <w:rsid w:val="00C513D4"/>
    <w:rsid w:val="00C80443"/>
    <w:rsid w:val="00C85D6B"/>
    <w:rsid w:val="00CD19D5"/>
    <w:rsid w:val="00CE7F25"/>
    <w:rsid w:val="00CF5B1A"/>
    <w:rsid w:val="00D01E09"/>
    <w:rsid w:val="00D17C0D"/>
    <w:rsid w:val="00D358F0"/>
    <w:rsid w:val="00D55E83"/>
    <w:rsid w:val="00DC18A7"/>
    <w:rsid w:val="00DD61F7"/>
    <w:rsid w:val="00DE2653"/>
    <w:rsid w:val="00DE3EED"/>
    <w:rsid w:val="00DE67DD"/>
    <w:rsid w:val="00DF1244"/>
    <w:rsid w:val="00DF46D5"/>
    <w:rsid w:val="00E31A99"/>
    <w:rsid w:val="00E548A9"/>
    <w:rsid w:val="00E83D4F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71E73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nt6">
    <w:name w:val="font6"/>
    <w:basedOn w:val="Normal"/>
    <w:rsid w:val="00005246"/>
    <w:pPr>
      <w:spacing w:before="100" w:beforeAutospacing="1" w:after="100" w:afterAutospacing="1"/>
    </w:pPr>
    <w:rPr>
      <w:rFonts w:ascii="Cambria" w:hAnsi="Cambria" w:cs="Times New Roman"/>
      <w:color w:val="00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3</cp:revision>
  <cp:lastPrinted>2019-03-15T12:10:00Z</cp:lastPrinted>
  <dcterms:created xsi:type="dcterms:W3CDTF">2020-05-18T15:03:00Z</dcterms:created>
  <dcterms:modified xsi:type="dcterms:W3CDTF">2020-05-18T15:07:00Z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