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EE" w:rsidRPr="00C67CF3" w:rsidRDefault="00DF1E02">
      <w:pPr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>ATA DE REGISTRO DE PREÇOS Nº 063/2019</w:t>
      </w:r>
    </w:p>
    <w:p w:rsidR="006A2BEE" w:rsidRPr="00C67CF3" w:rsidRDefault="00DF1E02">
      <w:pPr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>PREGÃO Nº 080/2019.</w:t>
      </w:r>
    </w:p>
    <w:p w:rsidR="006A2BEE" w:rsidRPr="00C67CF3" w:rsidRDefault="00DF1E02">
      <w:pPr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>PROCESSO LICITATÓRIO Nº 125/2019.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>VALIDADE: 12 meses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Aos </w:t>
      </w:r>
      <w:r w:rsidR="00300148" w:rsidRPr="00C67CF3">
        <w:rPr>
          <w:rFonts w:ascii="Cambria" w:hAnsi="Cambria" w:cs="Arial"/>
          <w:color w:val="000000" w:themeColor="text1"/>
          <w:sz w:val="24"/>
          <w:szCs w:val="24"/>
          <w:lang w:val="pt-BR"/>
        </w:rPr>
        <w:t>02 (dois) dias do mês de janeiro de 2020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, na sala de licitações, na sede da Prefeitura Municipal, situada na </w:t>
      </w:r>
      <w:r w:rsidR="00300148" w:rsidRPr="00C67CF3">
        <w:rPr>
          <w:rFonts w:ascii="Cambria" w:hAnsi="Cambria" w:cs="Arial"/>
          <w:color w:val="000000" w:themeColor="text1"/>
          <w:sz w:val="24"/>
          <w:szCs w:val="24"/>
          <w:lang w:val="pt-BR"/>
        </w:rPr>
        <w:t>Avenida Francisco Valadares da Fonseca, nº. 250, bairro Vasco Lopes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>,</w:t>
      </w:r>
      <w:r w:rsidR="00300148" w:rsidRPr="00C67CF3">
        <w:rPr>
          <w:rFonts w:ascii="Cambria" w:hAnsi="Cambria" w:cs="Arial"/>
          <w:color w:val="000000" w:themeColor="text1"/>
          <w:sz w:val="24"/>
          <w:szCs w:val="24"/>
          <w:lang w:val="pt-BR"/>
        </w:rPr>
        <w:t xml:space="preserve"> Papagaios/MG, CEP 35.669-000,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 o Exmo. Sr. Prefeito Municipal, Sr. </w:t>
      </w:r>
      <w:r w:rsidR="000772D1" w:rsidRPr="00C67CF3">
        <w:rPr>
          <w:rFonts w:ascii="Cambria" w:hAnsi="Cambria" w:cs="Arial"/>
          <w:color w:val="000000" w:themeColor="text1"/>
          <w:sz w:val="24"/>
          <w:szCs w:val="24"/>
          <w:lang w:val="pt-BR"/>
        </w:rPr>
        <w:t>Mário Reis Filgueiras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, nos termos do art. 15 da Lei Federal 8.666/93, da Lei 10.250/2002, das demais normas legais aplicáveis, em face da classificação das propostas apresentadas no PREGÃO PARA REGISTRO DE PREÇOS Nº 080/2019 por deliberação do pregoeiro oficial e equipe de apoio, e por ele homologada conforme processo nº 125/2019 RESOLVE registrar os preços para os fornecimentos constantes nos anexos desta ata, beneficiário </w:t>
      </w:r>
      <w:r w:rsidR="009D2FAC">
        <w:rPr>
          <w:rFonts w:ascii="Cambria" w:hAnsi="Cambria" w:cs="Arial"/>
          <w:b/>
          <w:color w:val="000000" w:themeColor="text1"/>
          <w:sz w:val="24"/>
          <w:szCs w:val="24"/>
          <w:lang w:val="pt-BR"/>
        </w:rPr>
        <w:t>DIFARMED COMERCIO DE MEDICAMENTOS LTDA - EPP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, localizado na </w:t>
      </w:r>
      <w:r w:rsidR="009D2FAC">
        <w:rPr>
          <w:rFonts w:ascii="Cambria" w:hAnsi="Cambria" w:cs="Arial"/>
          <w:color w:val="000000" w:themeColor="text1"/>
          <w:sz w:val="24"/>
          <w:szCs w:val="24"/>
          <w:lang w:val="pt-BR"/>
        </w:rPr>
        <w:t>Avenida Amintas Jacques de Moraes, nº. 1511, bairro Novo Glória, Belo Horizonte/MG, CEP 30.880-303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, cujo CNPJ é </w:t>
      </w:r>
      <w:r w:rsidR="009D2FAC">
        <w:rPr>
          <w:rFonts w:ascii="Cambria" w:hAnsi="Cambria" w:cs="Arial"/>
          <w:color w:val="000000" w:themeColor="text1"/>
          <w:sz w:val="24"/>
          <w:szCs w:val="24"/>
          <w:lang w:val="pt-BR"/>
        </w:rPr>
        <w:t>08.795.066/0001-27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, neste ato representado por </w:t>
      </w:r>
      <w:r w:rsidR="009D2FAC">
        <w:rPr>
          <w:rFonts w:ascii="Cambria" w:hAnsi="Cambria" w:cs="Arial"/>
          <w:color w:val="000000" w:themeColor="text1"/>
          <w:sz w:val="24"/>
          <w:szCs w:val="24"/>
          <w:lang w:val="pt-BR"/>
        </w:rPr>
        <w:t>Marcos Antônio Sarmento</w:t>
      </w:r>
      <w:r w:rsidR="00680139" w:rsidRPr="00C67CF3">
        <w:rPr>
          <w:rFonts w:ascii="Cambria" w:hAnsi="Cambria" w:cs="Arial"/>
          <w:color w:val="000000" w:themeColor="text1"/>
          <w:sz w:val="24"/>
          <w:szCs w:val="24"/>
          <w:lang w:val="pt-BR"/>
        </w:rPr>
        <w:t xml:space="preserve">, inscrito no CPF/MF sob o nº. </w:t>
      </w:r>
      <w:r w:rsidR="009D2FAC">
        <w:rPr>
          <w:rFonts w:ascii="Cambria" w:hAnsi="Cambria" w:cs="Arial"/>
          <w:color w:val="000000" w:themeColor="text1"/>
          <w:sz w:val="24"/>
          <w:szCs w:val="24"/>
          <w:lang w:val="pt-BR"/>
        </w:rPr>
        <w:t>301.090.196-87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>, conforme quadro abaixo:</w:t>
      </w:r>
    </w:p>
    <w:p w:rsidR="006A2BEE" w:rsidRPr="00C67CF3" w:rsidRDefault="006A2BEE">
      <w:pPr>
        <w:pStyle w:val="Corpodetexto"/>
        <w:tabs>
          <w:tab w:val="left" w:pos="4156"/>
          <w:tab w:val="left" w:pos="5426"/>
        </w:tabs>
        <w:rPr>
          <w:rFonts w:ascii="Cambria" w:hAnsi="Cambria" w:cs="Arial"/>
          <w:color w:val="000000" w:themeColor="text1"/>
          <w:sz w:val="24"/>
          <w:szCs w:val="24"/>
        </w:rPr>
      </w:pPr>
    </w:p>
    <w:tbl>
      <w:tblPr>
        <w:tblW w:w="84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3827"/>
        <w:gridCol w:w="3422"/>
      </w:tblGrid>
      <w:tr w:rsidR="00C67CF3" w:rsidRPr="00C67CF3" w:rsidTr="007A5243"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324" w:rsidRPr="00C67CF3" w:rsidRDefault="00323324" w:rsidP="00DC07DA">
            <w:pPr>
              <w:pStyle w:val="Corpodetex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  <w:r w:rsidRPr="00C67CF3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Lote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324" w:rsidRPr="00C67CF3" w:rsidRDefault="00323324" w:rsidP="00DC07DA">
            <w:pPr>
              <w:pStyle w:val="Corpodetexto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  <w:r w:rsidRPr="00C67CF3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Produto</w:t>
            </w: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324" w:rsidRPr="00C67CF3" w:rsidRDefault="00323324" w:rsidP="00DC07DA">
            <w:pPr>
              <w:pStyle w:val="Corpodetexto"/>
              <w:jc w:val="both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  <w:r w:rsidRPr="00C67CF3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Desconto (%)sobre o PF – Preço de Fábrica para o Estado de Minas Gerais, constante na tabela CMED</w:t>
            </w:r>
          </w:p>
        </w:tc>
      </w:tr>
      <w:tr w:rsidR="00C67CF3" w:rsidRPr="00C67CF3" w:rsidTr="007A5243"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324" w:rsidRPr="00C67CF3" w:rsidRDefault="00323324" w:rsidP="00DC07DA">
            <w:pPr>
              <w:pStyle w:val="Corpodetexto"/>
              <w:jc w:val="both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67CF3">
              <w:rPr>
                <w:rFonts w:ascii="Cambria" w:hAnsi="Cambria" w:cs="Arial"/>
                <w:color w:val="000000" w:themeColor="text1"/>
                <w:sz w:val="24"/>
                <w:szCs w:val="24"/>
              </w:rPr>
              <w:t>Lote II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324" w:rsidRPr="00C67CF3" w:rsidRDefault="00323324" w:rsidP="0059157A">
            <w:pPr>
              <w:jc w:val="both"/>
              <w:rPr>
                <w:rFonts w:ascii="Cambria" w:hAnsi="Cambria" w:cs="Tahoma"/>
                <w:color w:val="000000" w:themeColor="text1"/>
              </w:rPr>
            </w:pPr>
            <w:r w:rsidRPr="00C67CF3">
              <w:rPr>
                <w:rFonts w:ascii="Cambria" w:hAnsi="Cambria" w:cs="Tahoma"/>
                <w:color w:val="000000" w:themeColor="text1"/>
              </w:rPr>
              <w:t xml:space="preserve">Medicamentos </w:t>
            </w:r>
            <w:r w:rsidR="0059157A">
              <w:rPr>
                <w:rFonts w:ascii="Cambria" w:hAnsi="Cambria" w:cs="Tahoma"/>
                <w:color w:val="000000" w:themeColor="text1"/>
              </w:rPr>
              <w:t>Similares</w:t>
            </w: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324" w:rsidRPr="00C67CF3" w:rsidRDefault="0059157A" w:rsidP="00DC07DA">
            <w:pPr>
              <w:pStyle w:val="Corpodetexto"/>
              <w:jc w:val="both"/>
              <w:rPr>
                <w:rFonts w:ascii="Cambria" w:hAnsi="Cambria" w:cs="Arial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  <w:lang w:val="pt-BR"/>
              </w:rPr>
              <w:t>54%</w:t>
            </w:r>
          </w:p>
        </w:tc>
      </w:tr>
    </w:tbl>
    <w:p w:rsidR="006A2BEE" w:rsidRPr="00C67CF3" w:rsidRDefault="006A2BEE">
      <w:pPr>
        <w:jc w:val="both"/>
        <w:rPr>
          <w:rFonts w:ascii="Cambria" w:hAnsi="Cambria" w:cs="Arial"/>
          <w:b/>
          <w:color w:val="000000" w:themeColor="text1"/>
        </w:rPr>
      </w:pPr>
    </w:p>
    <w:p w:rsidR="006A2BEE" w:rsidRPr="00C67CF3" w:rsidRDefault="00DF1E02">
      <w:pPr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01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DO OBJETO:</w:t>
      </w:r>
    </w:p>
    <w:p w:rsidR="006A2BEE" w:rsidRPr="00C67CF3" w:rsidRDefault="006A2BEE">
      <w:pPr>
        <w:jc w:val="both"/>
        <w:rPr>
          <w:rFonts w:ascii="Cambria" w:hAnsi="Cambria" w:cs="Arial"/>
          <w:b/>
          <w:color w:val="000000" w:themeColor="text1"/>
        </w:rPr>
      </w:pPr>
    </w:p>
    <w:tbl>
      <w:tblPr>
        <w:tblW w:w="84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0"/>
      </w:tblGrid>
      <w:tr w:rsidR="00C67CF3" w:rsidRPr="00C67CF3" w:rsidTr="007A5243">
        <w:tc>
          <w:tcPr>
            <w:tcW w:w="8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BEE" w:rsidRPr="00C67CF3" w:rsidRDefault="00DF1E02">
            <w:pPr>
              <w:jc w:val="center"/>
              <w:rPr>
                <w:rFonts w:ascii="Cambria" w:hAnsi="Cambria" w:cs="Arial"/>
                <w:b/>
                <w:color w:val="000000" w:themeColor="text1"/>
              </w:rPr>
            </w:pPr>
            <w:r w:rsidRPr="00C67CF3">
              <w:rPr>
                <w:rFonts w:ascii="Cambria" w:hAnsi="Cambria" w:cs="Arial"/>
                <w:b/>
                <w:color w:val="000000" w:themeColor="text1"/>
              </w:rPr>
              <w:t>PERCENTUAL DE DESCONTO SOBRE A TABELA DA CMED</w:t>
            </w:r>
          </w:p>
        </w:tc>
      </w:tr>
      <w:tr w:rsidR="007A5243" w:rsidRPr="00C67CF3" w:rsidTr="007A5243">
        <w:tc>
          <w:tcPr>
            <w:tcW w:w="8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BEE" w:rsidRPr="00C67CF3" w:rsidRDefault="0059157A">
            <w:pPr>
              <w:jc w:val="center"/>
              <w:rPr>
                <w:rFonts w:ascii="Cambria" w:hAnsi="Cambria" w:cs="Arial"/>
                <w:b/>
                <w:color w:val="000000" w:themeColor="text1"/>
                <w:lang w:val="en-US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en-US"/>
              </w:rPr>
              <w:t>5</w:t>
            </w:r>
            <w:bookmarkStart w:id="0" w:name="_GoBack"/>
            <w:bookmarkEnd w:id="0"/>
            <w:r w:rsidR="00680139" w:rsidRPr="00C67CF3">
              <w:rPr>
                <w:rFonts w:ascii="Cambria" w:hAnsi="Cambria" w:cs="Arial"/>
                <w:b/>
                <w:color w:val="000000" w:themeColor="text1"/>
                <w:lang w:val="en-US"/>
              </w:rPr>
              <w:t>4</w:t>
            </w:r>
            <w:r w:rsidR="00DF1E02" w:rsidRPr="00C67CF3">
              <w:rPr>
                <w:rFonts w:ascii="Cambria" w:hAnsi="Cambria" w:cs="Arial"/>
                <w:b/>
                <w:color w:val="000000" w:themeColor="text1"/>
                <w:lang w:val="en-US"/>
              </w:rPr>
              <w:t>%</w:t>
            </w:r>
          </w:p>
        </w:tc>
      </w:tr>
    </w:tbl>
    <w:p w:rsidR="006A2BEE" w:rsidRPr="00C67CF3" w:rsidRDefault="006A2BEE">
      <w:pPr>
        <w:tabs>
          <w:tab w:val="right" w:pos="6589"/>
        </w:tabs>
        <w:jc w:val="both"/>
        <w:rPr>
          <w:rFonts w:ascii="Cambria" w:hAnsi="Cambria" w:cs="Arial"/>
          <w:b/>
          <w:color w:val="000000" w:themeColor="text1"/>
        </w:rPr>
      </w:pPr>
    </w:p>
    <w:p w:rsidR="006A2BEE" w:rsidRPr="00C67CF3" w:rsidRDefault="00DF1E02">
      <w:pPr>
        <w:tabs>
          <w:tab w:val="right" w:pos="6589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02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DA VALIDADE DO REGISTRO DE PREÇOS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 vigência da presente Ata de Registro de Preços será de 12 (doze) meses, contados da data de homologação do certame.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tabs>
          <w:tab w:val="right" w:pos="7944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03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DA UTILIZAÇÃO DA ATA DE REGISTRO DE PREÇOS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lastRenderedPageBreak/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 presente Ata de Registro de Preços poderá ser utilizada, para aquisições do respectivo objeto, por todos os Órgãos da Administração direta e indireta do Município.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tabs>
          <w:tab w:val="right" w:pos="2401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04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DO PREÇO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Os preços ofertados pelas empresas signatárias da presente Ata de Registro de Preços são os constantes dos seus anexos, de acordo com a respectiva classificação no Pregão nº 080/2019.</w:t>
      </w:r>
    </w:p>
    <w:p w:rsidR="006A2BEE" w:rsidRPr="00C67CF3" w:rsidRDefault="00DF1E02">
      <w:pPr>
        <w:tabs>
          <w:tab w:val="right" w:pos="9122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Em cada fornecimento decorrente desta Ata, serão observadas as disposições da legislação pertinente, assim como as cláusulas e condições constantes do Edital do Pregão nº 080/2019, que integra o presente instrumento de compromisso.</w:t>
      </w:r>
    </w:p>
    <w:p w:rsidR="006A2BEE" w:rsidRPr="00C67CF3" w:rsidRDefault="00DF1E02">
      <w:pPr>
        <w:tabs>
          <w:tab w:val="right" w:pos="9106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Em cada fornecimento, o preço unitário a ser pago será o constante das propostas apresentadas, no Pregão nº 080/2019 pelas empresas detentoras da presente Ata, as quais também a integram.</w:t>
      </w:r>
    </w:p>
    <w:p w:rsidR="006A2BEE" w:rsidRPr="00C67CF3" w:rsidRDefault="006A2BEE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color w:val="000000" w:themeColor="text1"/>
        </w:rPr>
      </w:pPr>
    </w:p>
    <w:p w:rsidR="006A2BEE" w:rsidRPr="00C67CF3" w:rsidRDefault="00DF1E02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05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DO LOCAL E PRAZO DE ENTREGA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Em cada fornecimento, o prazo de entrega dos medicamentos é de 05 (cinco) dias úteis, será o constante dos anexos desta, e será contado a partir da Ordem de Fornecimento.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</w:t>
      </w:r>
      <w:r w:rsidRPr="00C67CF3">
        <w:rPr>
          <w:rFonts w:ascii="Cambria" w:hAnsi="Cambria" w:cs="Arial"/>
          <w:color w:val="000000" w:themeColor="text1"/>
        </w:rPr>
        <w:t>O prazo para retirada da Ordem de Fornecimento será de cinco dias da data da convocação por parte do Município.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O local da entrega, em cada fornecimento, será o almoxarifado da Prefeitura.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tabs>
          <w:tab w:val="right" w:pos="3229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06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DO PAGAMENTO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Em todos os fornecimentos, o pagamento será feito por crédito em conta corrente na instituição bancaria, ou excepcionalmente, pela Secretaria da Fazenda, </w:t>
      </w:r>
      <w:r w:rsidRPr="00C67CF3">
        <w:rPr>
          <w:rFonts w:ascii="Cambria" w:hAnsi="Cambria" w:cs="Arial"/>
          <w:bCs/>
          <w:color w:val="000000" w:themeColor="text1"/>
        </w:rPr>
        <w:t xml:space="preserve">em até 30 dias, após recebimento </w:t>
      </w:r>
      <w:r w:rsidRPr="00C67CF3">
        <w:rPr>
          <w:rFonts w:ascii="Cambria" w:hAnsi="Cambria" w:cs="Arial"/>
          <w:color w:val="000000" w:themeColor="text1"/>
        </w:rPr>
        <w:t>definitivo pela unidade requisitante</w:t>
      </w:r>
      <w:r w:rsidRPr="00C67CF3">
        <w:rPr>
          <w:rFonts w:ascii="Cambria" w:hAnsi="Cambria" w:cs="Arial"/>
          <w:bCs/>
          <w:color w:val="000000" w:themeColor="text1"/>
        </w:rPr>
        <w:t xml:space="preserve"> do objeto, </w:t>
      </w:r>
      <w:r w:rsidRPr="00C67CF3">
        <w:rPr>
          <w:rFonts w:ascii="Cambria" w:hAnsi="Cambria" w:cs="Arial"/>
          <w:color w:val="000000" w:themeColor="text1"/>
        </w:rPr>
        <w:t>mediante apresentação da Nota Fiscal, acompanhada de comprovantes de regularidade perante o INSS e o FGTS, em plena vigência.</w:t>
      </w:r>
    </w:p>
    <w:p w:rsidR="006A2BEE" w:rsidRPr="00C67CF3" w:rsidRDefault="00DF1E02">
      <w:pPr>
        <w:pStyle w:val="Padro"/>
        <w:tabs>
          <w:tab w:val="left" w:pos="1440"/>
        </w:tabs>
        <w:jc w:val="both"/>
        <w:rPr>
          <w:rFonts w:ascii="Cambria" w:hAnsi="Cambria"/>
          <w:color w:val="000000" w:themeColor="text1"/>
          <w:szCs w:val="24"/>
        </w:rPr>
      </w:pPr>
      <w:r w:rsidRPr="00C67CF3">
        <w:rPr>
          <w:rFonts w:ascii="Cambria" w:hAnsi="Cambria" w:cs="Arial"/>
          <w:b/>
          <w:color w:val="000000" w:themeColor="text1"/>
          <w:szCs w:val="24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  <w:szCs w:val="24"/>
        </w:rPr>
        <w:noBreakHyphen/>
      </w:r>
      <w:r w:rsidRPr="00C67CF3">
        <w:rPr>
          <w:rFonts w:ascii="Cambria" w:hAnsi="Cambria" w:cs="Arial"/>
          <w:color w:val="000000" w:themeColor="text1"/>
          <w:szCs w:val="24"/>
        </w:rPr>
        <w:t xml:space="preserve"> A Nota Fiscal /Fatura Discriminativa deverá ser apresentada conforme descrito no Anexo – Termo de referência;</w:t>
      </w:r>
    </w:p>
    <w:p w:rsidR="006A2BEE" w:rsidRPr="00C67CF3" w:rsidRDefault="00DF1E02">
      <w:pPr>
        <w:pStyle w:val="Padro"/>
        <w:tabs>
          <w:tab w:val="left" w:pos="1440"/>
        </w:tabs>
        <w:jc w:val="both"/>
        <w:rPr>
          <w:rFonts w:ascii="Cambria" w:hAnsi="Cambria"/>
          <w:color w:val="000000" w:themeColor="text1"/>
          <w:szCs w:val="24"/>
        </w:rPr>
      </w:pPr>
      <w:r w:rsidRPr="00C67CF3">
        <w:rPr>
          <w:rFonts w:ascii="Cambria" w:hAnsi="Cambria" w:cs="Arial"/>
          <w:b/>
          <w:color w:val="000000" w:themeColor="text1"/>
          <w:szCs w:val="24"/>
        </w:rPr>
        <w:t xml:space="preserve">III </w:t>
      </w:r>
      <w:r w:rsidRPr="00C67CF3">
        <w:rPr>
          <w:rFonts w:ascii="Cambria" w:hAnsi="Cambria" w:cs="Arial"/>
          <w:b/>
          <w:color w:val="000000" w:themeColor="text1"/>
          <w:szCs w:val="24"/>
        </w:rPr>
        <w:noBreakHyphen/>
      </w:r>
      <w:r w:rsidRPr="00C67CF3">
        <w:rPr>
          <w:rFonts w:ascii="Cambria" w:hAnsi="Cambria" w:cs="Arial"/>
          <w:color w:val="000000" w:themeColor="text1"/>
          <w:szCs w:val="24"/>
        </w:rPr>
        <w:t xml:space="preserve">  A Prefeitura Municipal efetuará o pagamento no prazo e condições descritas no Anexo – Termo de Referência, conforme Nota Fiscal.</w:t>
      </w:r>
    </w:p>
    <w:p w:rsidR="006A2BEE" w:rsidRPr="00C67CF3" w:rsidRDefault="00DF1E02">
      <w:pPr>
        <w:pStyle w:val="Padro"/>
        <w:tabs>
          <w:tab w:val="left" w:pos="1440"/>
        </w:tabs>
        <w:jc w:val="both"/>
        <w:rPr>
          <w:rFonts w:ascii="Cambria" w:hAnsi="Cambria"/>
          <w:color w:val="000000" w:themeColor="text1"/>
          <w:szCs w:val="24"/>
        </w:rPr>
      </w:pPr>
      <w:r w:rsidRPr="00C67CF3">
        <w:rPr>
          <w:rFonts w:ascii="Cambria" w:hAnsi="Cambria" w:cs="Arial"/>
          <w:b/>
          <w:color w:val="000000" w:themeColor="text1"/>
          <w:szCs w:val="24"/>
        </w:rPr>
        <w:t xml:space="preserve">IV </w:t>
      </w:r>
      <w:r w:rsidRPr="00C67CF3">
        <w:rPr>
          <w:rFonts w:ascii="Cambria" w:hAnsi="Cambria" w:cs="Arial"/>
          <w:b/>
          <w:color w:val="000000" w:themeColor="text1"/>
          <w:szCs w:val="24"/>
        </w:rPr>
        <w:noBreakHyphen/>
      </w:r>
      <w:r w:rsidRPr="00C67CF3">
        <w:rPr>
          <w:rFonts w:ascii="Cambria" w:hAnsi="Cambria" w:cs="Arial"/>
          <w:color w:val="000000" w:themeColor="text1"/>
          <w:szCs w:val="24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6A2BEE" w:rsidRPr="00C67CF3" w:rsidRDefault="00DF1E02">
      <w:pPr>
        <w:pStyle w:val="Padro"/>
        <w:tabs>
          <w:tab w:val="left" w:pos="1440"/>
        </w:tabs>
        <w:jc w:val="both"/>
        <w:rPr>
          <w:rFonts w:ascii="Cambria" w:hAnsi="Cambria"/>
          <w:color w:val="000000" w:themeColor="text1"/>
          <w:szCs w:val="24"/>
        </w:rPr>
      </w:pPr>
      <w:r w:rsidRPr="00C67CF3">
        <w:rPr>
          <w:rFonts w:ascii="Cambria" w:hAnsi="Cambria" w:cs="Arial"/>
          <w:b/>
          <w:color w:val="000000" w:themeColor="text1"/>
          <w:szCs w:val="24"/>
        </w:rPr>
        <w:t xml:space="preserve">V </w:t>
      </w:r>
      <w:r w:rsidRPr="00C67CF3">
        <w:rPr>
          <w:rFonts w:ascii="Cambria" w:hAnsi="Cambria" w:cs="Arial"/>
          <w:b/>
          <w:color w:val="000000" w:themeColor="text1"/>
          <w:szCs w:val="24"/>
        </w:rPr>
        <w:noBreakHyphen/>
      </w:r>
      <w:r w:rsidRPr="00C67CF3">
        <w:rPr>
          <w:rFonts w:ascii="Cambria" w:hAnsi="Cambria" w:cs="Arial"/>
          <w:color w:val="000000" w:themeColor="text1"/>
          <w:szCs w:val="24"/>
        </w:rPr>
        <w:t xml:space="preserve"> Não será efetuado qualquer pagamento à detentora da ata enquanto houver pendência de liquidação da obrigação financeira em virtude de penalidade;</w:t>
      </w:r>
    </w:p>
    <w:p w:rsidR="006A2BEE" w:rsidRPr="00C67CF3" w:rsidRDefault="00DF1E02" w:rsidP="00034CA4">
      <w:pPr>
        <w:pStyle w:val="Padro"/>
        <w:tabs>
          <w:tab w:val="left" w:pos="1440"/>
        </w:tabs>
        <w:jc w:val="both"/>
        <w:rPr>
          <w:rFonts w:ascii="Cambria" w:hAnsi="Cambria"/>
          <w:color w:val="000000" w:themeColor="text1"/>
          <w:szCs w:val="24"/>
        </w:rPr>
      </w:pPr>
      <w:r w:rsidRPr="00C67CF3">
        <w:rPr>
          <w:rFonts w:ascii="Cambria" w:hAnsi="Cambria" w:cs="Arial"/>
          <w:b/>
          <w:color w:val="000000" w:themeColor="text1"/>
          <w:szCs w:val="24"/>
        </w:rPr>
        <w:t xml:space="preserve">VI </w:t>
      </w:r>
      <w:r w:rsidRPr="00C67CF3">
        <w:rPr>
          <w:rFonts w:ascii="Cambria" w:hAnsi="Cambria" w:cs="Arial"/>
          <w:b/>
          <w:color w:val="000000" w:themeColor="text1"/>
          <w:szCs w:val="24"/>
        </w:rPr>
        <w:noBreakHyphen/>
      </w:r>
      <w:r w:rsidRPr="00C67CF3">
        <w:rPr>
          <w:rFonts w:ascii="Cambria" w:hAnsi="Cambria" w:cs="Arial"/>
          <w:color w:val="000000" w:themeColor="text1"/>
          <w:szCs w:val="24"/>
        </w:rPr>
        <w:t>. O preço referido registrado inclui todos os custos e benefícios decorrentes da prestação dos serviços, de modo a constituírem a única e total contra prestação;</w:t>
      </w:r>
    </w:p>
    <w:p w:rsidR="006A2BEE" w:rsidRPr="00C67CF3" w:rsidRDefault="006A2BEE" w:rsidP="00034CA4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</w:p>
    <w:p w:rsidR="006A2BEE" w:rsidRPr="00C67CF3" w:rsidRDefault="00DF1E02" w:rsidP="00034CA4">
      <w:pPr>
        <w:pStyle w:val="Padro"/>
        <w:tabs>
          <w:tab w:val="left" w:pos="1440"/>
        </w:tabs>
        <w:jc w:val="both"/>
        <w:rPr>
          <w:rFonts w:ascii="Cambria" w:hAnsi="Cambria"/>
          <w:color w:val="000000" w:themeColor="text1"/>
          <w:szCs w:val="24"/>
        </w:rPr>
      </w:pPr>
      <w:r w:rsidRPr="00C67CF3">
        <w:rPr>
          <w:rFonts w:ascii="Cambria" w:hAnsi="Cambria" w:cs="Arial"/>
          <w:b/>
          <w:color w:val="000000" w:themeColor="text1"/>
          <w:szCs w:val="24"/>
        </w:rPr>
        <w:lastRenderedPageBreak/>
        <w:t xml:space="preserve">VII </w:t>
      </w:r>
      <w:r w:rsidRPr="00C67CF3">
        <w:rPr>
          <w:rFonts w:ascii="Cambria" w:hAnsi="Cambria" w:cs="Arial"/>
          <w:b/>
          <w:color w:val="000000" w:themeColor="text1"/>
          <w:szCs w:val="24"/>
        </w:rPr>
        <w:noBreakHyphen/>
      </w:r>
      <w:r w:rsidRPr="00C67CF3">
        <w:rPr>
          <w:rFonts w:ascii="Cambria" w:hAnsi="Cambria" w:cs="Arial"/>
          <w:color w:val="000000" w:themeColor="text1"/>
          <w:szCs w:val="24"/>
        </w:rPr>
        <w:t xml:space="preserve"> O Município poderá sustar o pagamento a que a contratada tenha direito, enquanto não sanados os defeitos, vícios ou incorreções resultantes da prestação dos serviços.</w:t>
      </w:r>
    </w:p>
    <w:p w:rsidR="006A2BEE" w:rsidRPr="00C67CF3" w:rsidRDefault="00DF1E02" w:rsidP="00034CA4">
      <w:pPr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VIII </w:t>
      </w:r>
      <w:r w:rsidRPr="00C67CF3">
        <w:rPr>
          <w:rFonts w:ascii="Cambria" w:hAnsi="Cambria" w:cs="Arial"/>
          <w:color w:val="000000" w:themeColor="text1"/>
        </w:rPr>
        <w:t>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6A2BEE" w:rsidRPr="00C67CF3" w:rsidRDefault="00DF1E02" w:rsidP="00034CA4">
      <w:pPr>
        <w:jc w:val="both"/>
        <w:rPr>
          <w:rFonts w:ascii="Cambria" w:hAnsi="Cambria" w:cs="Arial"/>
          <w:b/>
          <w:bCs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>EM = N x VP x I</w:t>
      </w:r>
    </w:p>
    <w:p w:rsidR="006A2BEE" w:rsidRPr="00C67CF3" w:rsidRDefault="00DF1E02" w:rsidP="00034CA4">
      <w:pPr>
        <w:jc w:val="both"/>
        <w:rPr>
          <w:rFonts w:ascii="Cambria" w:hAnsi="Cambria" w:cs="Arial"/>
          <w:b/>
          <w:bCs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>onde:</w:t>
      </w:r>
    </w:p>
    <w:p w:rsidR="006A2BEE" w:rsidRPr="00C67CF3" w:rsidRDefault="00DF1E02" w:rsidP="00034CA4">
      <w:pPr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>EM =</w:t>
      </w:r>
      <w:r w:rsidRPr="00C67CF3">
        <w:rPr>
          <w:rFonts w:ascii="Cambria" w:hAnsi="Cambria" w:cs="Arial"/>
          <w:color w:val="000000" w:themeColor="text1"/>
        </w:rPr>
        <w:t xml:space="preserve"> Encargos moratórios;</w:t>
      </w:r>
    </w:p>
    <w:p w:rsidR="006A2BEE" w:rsidRPr="00C67CF3" w:rsidRDefault="00DF1E02" w:rsidP="00034CA4">
      <w:pPr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>VP =</w:t>
      </w:r>
      <w:r w:rsidRPr="00C67CF3">
        <w:rPr>
          <w:rFonts w:ascii="Cambria" w:hAnsi="Cambria" w:cs="Arial"/>
          <w:color w:val="000000" w:themeColor="text1"/>
        </w:rPr>
        <w:t xml:space="preserve"> Valor da parcela em atraso;</w:t>
      </w:r>
    </w:p>
    <w:p w:rsidR="006A2BEE" w:rsidRPr="00C67CF3" w:rsidRDefault="00DF1E02" w:rsidP="00034CA4">
      <w:pPr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>N =</w:t>
      </w:r>
      <w:r w:rsidRPr="00C67CF3">
        <w:rPr>
          <w:rFonts w:ascii="Cambria" w:hAnsi="Cambria" w:cs="Arial"/>
          <w:color w:val="000000" w:themeColor="text1"/>
        </w:rPr>
        <w:t xml:space="preserve"> Número de dias entre a data prevista para o pagamento (vencimento) e a do efetivo pagamento;</w:t>
      </w:r>
    </w:p>
    <w:p w:rsidR="006A2BEE" w:rsidRPr="00C67CF3" w:rsidRDefault="00DF1E02" w:rsidP="00034CA4">
      <w:pPr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>I =</w:t>
      </w:r>
      <w:r w:rsidRPr="00C67CF3">
        <w:rPr>
          <w:rFonts w:ascii="Cambria" w:hAnsi="Cambria" w:cs="Arial"/>
          <w:color w:val="000000" w:themeColor="text1"/>
        </w:rPr>
        <w:t xml:space="preserve"> Índice de compensação financeira, assim apurado:</w:t>
      </w:r>
    </w:p>
    <w:p w:rsidR="006A2BEE" w:rsidRPr="00C67CF3" w:rsidRDefault="006A2BEE" w:rsidP="00034CA4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 w:rsidP="00034CA4">
      <w:pPr>
        <w:jc w:val="center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>I = (</w:t>
      </w:r>
      <w:r w:rsidRPr="00C67CF3">
        <w:rPr>
          <w:rFonts w:ascii="Cambria" w:hAnsi="Cambria" w:cs="Arial"/>
          <w:b/>
          <w:bCs/>
          <w:color w:val="000000" w:themeColor="text1"/>
          <w:u w:val="single"/>
        </w:rPr>
        <w:t>TX / 100</w:t>
      </w:r>
      <w:r w:rsidRPr="00C67CF3">
        <w:rPr>
          <w:rFonts w:ascii="Cambria" w:hAnsi="Cambria" w:cs="Arial"/>
          <w:b/>
          <w:bCs/>
          <w:color w:val="000000" w:themeColor="text1"/>
        </w:rPr>
        <w:t>)</w:t>
      </w:r>
    </w:p>
    <w:p w:rsidR="006A2BEE" w:rsidRPr="00C67CF3" w:rsidRDefault="00DF1E02" w:rsidP="00034CA4">
      <w:pPr>
        <w:jc w:val="center"/>
        <w:rPr>
          <w:rFonts w:ascii="Cambria" w:hAnsi="Cambria"/>
          <w:color w:val="000000" w:themeColor="text1"/>
        </w:rPr>
      </w:pPr>
      <w:r w:rsidRPr="00C67CF3">
        <w:rPr>
          <w:rFonts w:ascii="Cambria" w:eastAsia="Arial" w:hAnsi="Cambria" w:cs="Arial"/>
          <w:b/>
          <w:bCs/>
          <w:color w:val="000000" w:themeColor="text1"/>
        </w:rPr>
        <w:t xml:space="preserve">    </w:t>
      </w:r>
      <w:r w:rsidRPr="00C67CF3">
        <w:rPr>
          <w:rFonts w:ascii="Cambria" w:hAnsi="Cambria" w:cs="Arial"/>
          <w:b/>
          <w:bCs/>
          <w:color w:val="000000" w:themeColor="text1"/>
        </w:rPr>
        <w:t>30</w:t>
      </w:r>
    </w:p>
    <w:p w:rsidR="006A2BEE" w:rsidRPr="00C67CF3" w:rsidRDefault="00DF1E02" w:rsidP="00034CA4">
      <w:pPr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b/>
          <w:bCs/>
          <w:color w:val="000000" w:themeColor="text1"/>
        </w:rPr>
        <w:t xml:space="preserve">TX = </w:t>
      </w:r>
      <w:r w:rsidRPr="00C67CF3">
        <w:rPr>
          <w:rFonts w:ascii="Cambria" w:hAnsi="Cambria" w:cs="Arial"/>
          <w:color w:val="000000" w:themeColor="text1"/>
        </w:rPr>
        <w:t>Percentual da taxa de juros de mora mensal definida no edital/contrato.</w:t>
      </w:r>
    </w:p>
    <w:p w:rsidR="006A2BEE" w:rsidRPr="00C67CF3" w:rsidRDefault="00DF1E02" w:rsidP="00034CA4">
      <w:pPr>
        <w:tabs>
          <w:tab w:val="right" w:pos="6375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07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DAS CONDIÇÕES DE FORNECIMENTO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color w:val="000000" w:themeColor="text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Se a qualidade dos medicamentos entregues não corresponder às especificações exigidas, no edital do Pregão que precedeu a presente Ata, a remessa dos medicamentos apresentados será devolvida à detentora para substituição, no prazo máximo de cinco dias, independentemente da aplicação das penalidades cabíveis.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Cada fornecimento deverá ser efetuado mediante ordem da unidade requisitante, a qual poderá ser feita por memorando, oficio, telex ou fac-símile, devendo dela constar: a data, o valor unitário dos medicamentos, a quantidade pretendida, o local para a entrega, o carimbo e a assinatura do responsável.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IV </w:t>
      </w:r>
      <w:r w:rsidRPr="00C67CF3">
        <w:rPr>
          <w:rFonts w:ascii="Cambria" w:hAnsi="Cambria" w:cs="Arial"/>
          <w:color w:val="000000" w:themeColor="text1"/>
        </w:rPr>
        <w:t>– Os medicamentos deverão ser entregues acompanhados da nota</w:t>
      </w:r>
      <w:r w:rsidRPr="00C67CF3">
        <w:rPr>
          <w:rFonts w:ascii="Cambria" w:hAnsi="Cambria" w:cs="Arial"/>
          <w:color w:val="000000" w:themeColor="text1"/>
        </w:rPr>
        <w:noBreakHyphen/>
        <w:t>fiscal ou nota-fiscal fatura, conforme o caso.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V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VI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 cópia da ordem de fornecimento referida no item anterior deverá ser devolvida para a unidade requisitante, a fim de ser anexada ao processo de administração da ata.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VII </w:t>
      </w:r>
      <w:r w:rsidRPr="00C67CF3">
        <w:rPr>
          <w:rFonts w:ascii="Cambria" w:hAnsi="Cambria" w:cs="Arial"/>
          <w:color w:val="000000" w:themeColor="text1"/>
        </w:rPr>
        <w:noBreakHyphen/>
        <w:t xml:space="preserve"> As empresas detentoras da presente ata ficam obrigadas a aceitar o acréscimo de até vinte e cinco por cento nas quantidades estimadas.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>VIII</w:t>
      </w:r>
      <w:r w:rsidRPr="00C67CF3">
        <w:rPr>
          <w:rFonts w:ascii="Cambria" w:hAnsi="Cambria" w:cs="Arial"/>
          <w:color w:val="000000" w:themeColor="text1"/>
        </w:rPr>
        <w:t xml:space="preserve"> – A empresa fornecedora deverá respeitar o limite do Preço Fabricante conforme Orientação Interpretativa nº 2 de 2006, ou o Preço Máximo de Venda ao </w:t>
      </w:r>
      <w:r w:rsidRPr="00C67CF3">
        <w:rPr>
          <w:rFonts w:ascii="Cambria" w:hAnsi="Cambria" w:cs="Arial"/>
          <w:color w:val="000000" w:themeColor="text1"/>
        </w:rPr>
        <w:lastRenderedPageBreak/>
        <w:t>Governo - PVMG nos casos de obrigatoriedade de aplicação do Coeficiente de Adequação de Preço - CAP.</w:t>
      </w:r>
    </w:p>
    <w:p w:rsidR="006A2BEE" w:rsidRPr="00C67CF3" w:rsidRDefault="00DF1E02">
      <w:pPr>
        <w:pStyle w:val="Corpodetex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b/>
          <w:color w:val="000000" w:themeColor="text1"/>
          <w:sz w:val="24"/>
          <w:szCs w:val="24"/>
        </w:rPr>
        <w:t xml:space="preserve">IX </w:t>
      </w:r>
      <w:r w:rsidRPr="00C67CF3">
        <w:rPr>
          <w:rFonts w:ascii="Cambria" w:hAnsi="Cambria" w:cs="Arial"/>
          <w:b/>
          <w:color w:val="000000" w:themeColor="text1"/>
          <w:sz w:val="24"/>
          <w:szCs w:val="24"/>
        </w:rPr>
        <w:noBreakHyphen/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 Apresentar a atualização, a cada 180 dias, da Certidão Negativa de Débito Trabalhista (CNDT) referida na Lei nº 12.440 de 07.07.2011.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tabs>
          <w:tab w:val="left" w:pos="92"/>
          <w:tab w:val="right" w:pos="4024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08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DAS PENALIDADES 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6A2BEE" w:rsidRPr="00C67CF3" w:rsidRDefault="00DF1E02">
      <w:pPr>
        <w:pStyle w:val="Preformatted"/>
        <w:tabs>
          <w:tab w:val="left" w:pos="5387"/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b/>
          <w:color w:val="000000" w:themeColor="text1"/>
          <w:sz w:val="24"/>
          <w:szCs w:val="24"/>
        </w:rPr>
        <w:t xml:space="preserve">III </w:t>
      </w:r>
      <w:r w:rsidRPr="00C67CF3">
        <w:rPr>
          <w:rFonts w:ascii="Cambria" w:hAnsi="Cambria" w:cs="Arial"/>
          <w:b/>
          <w:color w:val="000000" w:themeColor="text1"/>
          <w:sz w:val="24"/>
          <w:szCs w:val="24"/>
        </w:rPr>
        <w:noBreakHyphen/>
        <w:t xml:space="preserve"> 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>Aos fornecedores que descumprirem total ou parcialmente o objeto celebrado com a Administração Pública Municipal serão aplicadas as sanções previstas no art. 87 da Lei Federal nº 8.666, de 1993, obedecidos os seguintes critérios: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>A - advertência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>B -</w:t>
      </w:r>
      <w:r w:rsidRPr="00C67CF3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>multa - deverá ser prevista no instrumento convocatório, observados os seguintes limites máximos: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>a) 0,3% (três décimos por cento) por dia, até o trigésimo dia de atraso, sobre o valor do fornecimento.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>b) 20% (vinte por cento) sobre o valor do fornecimento, no caso de atraso superior a 30 (trinta) dias, com o consequente cancelamento da nota de empenho ou documento correspondente;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>C - suspensão temporária de participação em licitação e impedimento de contratar com a Administração,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b/>
          <w:color w:val="000000" w:themeColor="text1"/>
          <w:sz w:val="24"/>
          <w:szCs w:val="24"/>
        </w:rPr>
        <w:t>IV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 - As penalidades de advertência e multa serão aplicadas de ofício ou por provocação dos órgãos de controle, pela autoridade expressamente nomeada no instrumento convocatório.</w:t>
      </w:r>
    </w:p>
    <w:p w:rsidR="006A2BEE" w:rsidRPr="00C67CF3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b/>
          <w:color w:val="000000" w:themeColor="text1"/>
          <w:sz w:val="24"/>
          <w:szCs w:val="24"/>
        </w:rPr>
        <w:t>V</w:t>
      </w:r>
      <w:r w:rsidRPr="00C67CF3">
        <w:rPr>
          <w:rFonts w:ascii="Cambria" w:hAnsi="Cambria" w:cs="Arial"/>
          <w:color w:val="000000" w:themeColor="text1"/>
          <w:sz w:val="24"/>
          <w:szCs w:val="24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VI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VII </w:t>
      </w:r>
      <w:r w:rsidRPr="00C67CF3">
        <w:rPr>
          <w:rFonts w:ascii="Cambria" w:hAnsi="Cambria" w:cs="Arial"/>
          <w:color w:val="000000" w:themeColor="text1"/>
        </w:rPr>
        <w:t xml:space="preserve">- Caso o detentor da ata não respeite o limite do Preço Fabricante conforme Orientação Interpretativa nº 2 de 2006, ou o Preço Máximo de Venda ao Governo - </w:t>
      </w:r>
      <w:r w:rsidRPr="00C67CF3">
        <w:rPr>
          <w:rFonts w:ascii="Cambria" w:hAnsi="Cambria" w:cs="Arial"/>
          <w:color w:val="000000" w:themeColor="text1"/>
        </w:rPr>
        <w:lastRenderedPageBreak/>
        <w:t xml:space="preserve">PVMG nos casos de obrigatoriedade de aplicação do Coeficiente de Adequação de Preço – CAP ficará sujeito à aplicação das penalidades suspensão e inidoneidade, além de Comunicação à CEMED - </w:t>
      </w:r>
      <w:r w:rsidRPr="00C67CF3">
        <w:rPr>
          <w:rStyle w:val="nfase"/>
          <w:rFonts w:ascii="Cambria" w:hAnsi="Cambria" w:cs="Arial"/>
          <w:color w:val="000000" w:themeColor="text1"/>
        </w:rPr>
        <w:t xml:space="preserve">Câmara de Regulação do Mercado de Medicamentos </w:t>
      </w:r>
      <w:r w:rsidRPr="00C67CF3">
        <w:rPr>
          <w:rFonts w:ascii="Cambria" w:hAnsi="Cambria" w:cs="Arial"/>
          <w:color w:val="000000" w:themeColor="text1"/>
        </w:rPr>
        <w:t>e Ministério Públicos Federal e Estadual.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tabs>
          <w:tab w:val="right" w:pos="6019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09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DOS REAJUSTAMENTOS DE PREÇOS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C67CF3">
        <w:rPr>
          <w:rFonts w:ascii="Cambria" w:hAnsi="Cambria" w:cs="Arial"/>
          <w:color w:val="000000" w:themeColor="text1"/>
        </w:rPr>
        <w:noBreakHyphen/>
        <w:t>limite para apresentação das propostas indicadas no preâmbulo do edital do Pregão nº 080/2019, que integra a presente Ata de Registro de Preços, ressalvados os casos de revisão de registro a que se refere o Decreto instituidor do Registro de preços.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Fica ressalvada a possibilidade de alteração das condições para a concessão de reajustes em face da superveniência de normas federais aplicáveis à espécie.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10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DAS CONDIÇÕES DE RECEBIMENTO DO OBJETO DA ATA DE REGISTRO DE PREÇOS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</w:t>
      </w:r>
      <w:r w:rsidRPr="00C67CF3">
        <w:rPr>
          <w:rFonts w:ascii="Cambria" w:hAnsi="Cambria" w:cs="Arial"/>
          <w:color w:val="000000" w:themeColor="text1"/>
        </w:rPr>
        <w:t>O objeto desta Ata de Registro de preços será recebido pela unidade requisitante consoante o disposto no art.73, II “a” e “b”, da Lei Federal 8.666/93.e demais normas pertinentes.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 cada fornecimento serão emitidos recibos, nos termos do art. 73, II, “a” e “b”, da Lei Federal 8.666/93.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tabs>
          <w:tab w:val="right" w:pos="8512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11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DO CANCELAMENTO DA ATA DE REGISTRO DE PREÇOS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 presente Ata de Registro de Preços poderá ser cancelada, de pleno direito:</w:t>
      </w:r>
    </w:p>
    <w:p w:rsidR="006A2BEE" w:rsidRPr="00C67CF3" w:rsidRDefault="00DF1E02">
      <w:pPr>
        <w:tabs>
          <w:tab w:val="left" w:pos="226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>Pela Administração, quando:</w:t>
      </w:r>
    </w:p>
    <w:p w:rsidR="006A2BEE" w:rsidRPr="00C67CF3" w:rsidRDefault="00DF1E02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A </w:t>
      </w:r>
      <w:r w:rsidRPr="00C67CF3">
        <w:rPr>
          <w:rFonts w:ascii="Cambria" w:hAnsi="Cambria" w:cs="Arial"/>
          <w:color w:val="000000" w:themeColor="text1"/>
        </w:rPr>
        <w:noBreakHyphen/>
        <w:t xml:space="preserve"> a detentora não cumprir as obrigações constantes desta Ata de Registro de Preços;</w:t>
      </w:r>
    </w:p>
    <w:p w:rsidR="006A2BEE" w:rsidRPr="00C67CF3" w:rsidRDefault="00DF1E02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B </w:t>
      </w:r>
      <w:r w:rsidRPr="00C67CF3">
        <w:rPr>
          <w:rFonts w:ascii="Cambria" w:hAnsi="Cambria" w:cs="Arial"/>
          <w:color w:val="000000" w:themeColor="text1"/>
        </w:rPr>
        <w:noBreakHyphen/>
        <w:t xml:space="preserve"> a detentora não retirar qualquer Ordem de Fornecimento, no prazo estabelecido, e a Administração não aceitar sua justificativa;</w:t>
      </w:r>
    </w:p>
    <w:p w:rsidR="006A2BEE" w:rsidRPr="00C67CF3" w:rsidRDefault="00DF1E02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C </w:t>
      </w:r>
      <w:r w:rsidRPr="00C67CF3">
        <w:rPr>
          <w:rFonts w:ascii="Cambria" w:hAnsi="Cambria" w:cs="Arial"/>
          <w:color w:val="000000" w:themeColor="text1"/>
        </w:rPr>
        <w:noBreakHyphen/>
        <w:t xml:space="preserve"> a detentora der causa a rescisão administrativa de contrato decorrente de registro de preços, a critério da Administração;</w:t>
      </w:r>
    </w:p>
    <w:p w:rsidR="006A2BEE" w:rsidRPr="00C67CF3" w:rsidRDefault="00DF1E02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D </w:t>
      </w:r>
      <w:r w:rsidRPr="00C67CF3">
        <w:rPr>
          <w:rFonts w:ascii="Cambria" w:hAnsi="Cambria" w:cs="Arial"/>
          <w:color w:val="000000" w:themeColor="text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A2BEE" w:rsidRPr="00C67CF3" w:rsidRDefault="00DF1E02" w:rsidP="00034CA4">
      <w:pPr>
        <w:tabs>
          <w:tab w:val="right" w:pos="8371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E </w:t>
      </w:r>
      <w:r w:rsidRPr="00C67CF3">
        <w:rPr>
          <w:rFonts w:ascii="Cambria" w:hAnsi="Cambria" w:cs="Arial"/>
          <w:color w:val="000000" w:themeColor="text1"/>
        </w:rPr>
        <w:noBreakHyphen/>
        <w:t xml:space="preserve"> os preços registrados se apresentarem superiores aos praticados no mercado;</w:t>
      </w:r>
    </w:p>
    <w:p w:rsidR="006A2BEE" w:rsidRPr="00C67CF3" w:rsidRDefault="00DF1E02" w:rsidP="00034CA4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F </w:t>
      </w:r>
      <w:r w:rsidRPr="00C67CF3">
        <w:rPr>
          <w:rFonts w:ascii="Cambria" w:hAnsi="Cambria" w:cs="Arial"/>
          <w:color w:val="000000" w:themeColor="text1"/>
        </w:rPr>
        <w:noBreakHyphen/>
        <w:t xml:space="preserve"> por razões de interesse público devidamente demonstradas e justificadas pela Administração;</w:t>
      </w:r>
    </w:p>
    <w:p w:rsidR="006A2BEE" w:rsidRPr="00C67CF3" w:rsidRDefault="00DF1E02" w:rsidP="00034CA4">
      <w:pPr>
        <w:pStyle w:val="Recuodecorpodetexto"/>
        <w:ind w:left="0"/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/>
          <w:color w:val="000000" w:themeColor="text1"/>
        </w:rPr>
        <w:t xml:space="preserve">G </w:t>
      </w:r>
      <w:r w:rsidRPr="00C67CF3">
        <w:rPr>
          <w:rFonts w:ascii="Cambria" w:hAnsi="Cambria"/>
          <w:color w:val="000000" w:themeColor="text1"/>
        </w:rPr>
        <w:noBreakHyphen/>
        <w:t xml:space="preserve"> </w:t>
      </w:r>
      <w:r w:rsidRPr="00C67CF3">
        <w:rPr>
          <w:rFonts w:ascii="Cambria" w:hAnsi="Cambria"/>
          <w:bCs/>
          <w:color w:val="000000" w:themeColor="text1"/>
        </w:rPr>
        <w:t>a comunicação do cancelamento do preço registrado, nos casos previstos neste item, será feita pessoalmente ou por correspondência com aviso de recebimento, juntando</w:t>
      </w:r>
      <w:r w:rsidRPr="00C67CF3">
        <w:rPr>
          <w:rFonts w:ascii="Cambria" w:hAnsi="Cambria"/>
          <w:bCs/>
          <w:color w:val="000000" w:themeColor="text1"/>
        </w:rPr>
        <w:noBreakHyphen/>
        <w:t>se o comprovante ao processo de administração da presente Ata de Registro de Preços;</w:t>
      </w:r>
    </w:p>
    <w:p w:rsidR="006A2BEE" w:rsidRPr="00C67CF3" w:rsidRDefault="00DF1E02" w:rsidP="00034CA4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*no caso de ser ignorado, incerto ou inacessível o endereço da detentora, a comunicação será feita por publicação no órgão encarregado das publicações </w:t>
      </w:r>
      <w:r w:rsidRPr="00C67CF3">
        <w:rPr>
          <w:rFonts w:ascii="Cambria" w:hAnsi="Cambria" w:cs="Arial"/>
          <w:color w:val="000000" w:themeColor="text1"/>
        </w:rPr>
        <w:lastRenderedPageBreak/>
        <w:t>oficiais do Município, considerando</w:t>
      </w:r>
      <w:r w:rsidRPr="00C67CF3">
        <w:rPr>
          <w:rFonts w:ascii="Cambria" w:hAnsi="Cambria" w:cs="Arial"/>
          <w:color w:val="000000" w:themeColor="text1"/>
        </w:rPr>
        <w:noBreakHyphen/>
        <w:t>se cancelado o preço registrado a partir da publicação.</w:t>
      </w:r>
    </w:p>
    <w:p w:rsidR="006A2BEE" w:rsidRPr="00C67CF3" w:rsidRDefault="00DF1E02" w:rsidP="00034CA4">
      <w:pPr>
        <w:pStyle w:val="Recuodecorpodetexto2"/>
        <w:spacing w:after="0" w:line="240" w:lineRule="auto"/>
        <w:ind w:left="0"/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A2BEE" w:rsidRPr="00C67CF3" w:rsidRDefault="00DF1E02">
      <w:pPr>
        <w:tabs>
          <w:tab w:val="left" w:pos="717"/>
        </w:tabs>
        <w:jc w:val="both"/>
        <w:rPr>
          <w:rFonts w:ascii="Cambria" w:hAnsi="Cambria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A </w:t>
      </w:r>
      <w:r w:rsidRPr="00C67CF3">
        <w:rPr>
          <w:rFonts w:ascii="Cambria" w:hAnsi="Cambria" w:cs="Arial"/>
          <w:color w:val="000000" w:themeColor="text1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:rsidR="006A2BEE" w:rsidRPr="00C67CF3" w:rsidRDefault="006A2BEE">
      <w:pPr>
        <w:tabs>
          <w:tab w:val="left" w:pos="717"/>
        </w:tabs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tabs>
          <w:tab w:val="right" w:pos="6945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 xml:space="preserve">12 </w:t>
      </w:r>
      <w:r w:rsidRPr="00C67CF3">
        <w:rPr>
          <w:rFonts w:ascii="Cambria" w:hAnsi="Cambria" w:cs="Arial"/>
          <w:b/>
          <w:color w:val="000000" w:themeColor="text1"/>
        </w:rPr>
        <w:noBreakHyphen/>
        <w:t xml:space="preserve"> DA AUTORIZAÇÃO PARA FORNECIMENTO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>I</w:t>
      </w:r>
      <w:r w:rsidRPr="00C67CF3">
        <w:rPr>
          <w:rFonts w:ascii="Cambria" w:hAnsi="Cambria" w:cs="Arial"/>
          <w:b/>
          <w:color w:val="000000" w:themeColor="text1"/>
        </w:rPr>
        <w:t xml:space="preserve">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As aquisições do objeto da presente Ata de Registro de Preços serão autorizadas, caso a caso, pelo Secretario requisitante.</w:t>
      </w:r>
    </w:p>
    <w:p w:rsidR="006A2BEE" w:rsidRPr="00C67CF3" w:rsidRDefault="006A2BEE">
      <w:pPr>
        <w:tabs>
          <w:tab w:val="right" w:pos="3704"/>
        </w:tabs>
        <w:jc w:val="both"/>
        <w:rPr>
          <w:rFonts w:ascii="Cambria" w:hAnsi="Cambria" w:cs="Arial"/>
          <w:b/>
          <w:color w:val="000000" w:themeColor="text1"/>
        </w:rPr>
      </w:pPr>
    </w:p>
    <w:p w:rsidR="006A2BEE" w:rsidRPr="00C67CF3" w:rsidRDefault="00DF1E02">
      <w:pPr>
        <w:tabs>
          <w:tab w:val="right" w:pos="3704"/>
        </w:tabs>
        <w:jc w:val="both"/>
        <w:rPr>
          <w:rFonts w:ascii="Cambria" w:hAnsi="Cambria" w:cs="Arial"/>
          <w:b/>
          <w:color w:val="000000" w:themeColor="text1"/>
        </w:rPr>
      </w:pPr>
      <w:r w:rsidRPr="00C67CF3">
        <w:rPr>
          <w:rFonts w:ascii="Cambria" w:hAnsi="Cambria" w:cs="Arial"/>
          <w:b/>
          <w:color w:val="000000" w:themeColor="text1"/>
        </w:rPr>
        <w:t>13 - DAS DISPOSIÇÕES FINAIS</w:t>
      </w:r>
    </w:p>
    <w:p w:rsidR="006A2BEE" w:rsidRPr="00C67CF3" w:rsidRDefault="00DF1E0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7CF3">
        <w:rPr>
          <w:rFonts w:ascii="Cambria" w:hAnsi="Cambria" w:cs="Arial"/>
          <w:color w:val="000000" w:themeColor="text1"/>
          <w:sz w:val="24"/>
          <w:szCs w:val="24"/>
        </w:rPr>
        <w:t>I - Integram esta Ata, o edital do Pregão nº 080/2019 e as propostas das empresas classificadas no certame supranumerado.</w:t>
      </w:r>
    </w:p>
    <w:p w:rsidR="006A2BEE" w:rsidRPr="00C67CF3" w:rsidRDefault="00DF1E02">
      <w:pPr>
        <w:tabs>
          <w:tab w:val="right" w:pos="9112"/>
        </w:tabs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II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Fica eleito o foro desta Comarca de Pitangui para dirimir quaisquer questões decorrentes da utilização da presente Ata.</w:t>
      </w:r>
    </w:p>
    <w:p w:rsidR="006A2BEE" w:rsidRPr="00C67CF3" w:rsidRDefault="00DF1E02">
      <w:pPr>
        <w:jc w:val="both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>III</w:t>
      </w:r>
      <w:r w:rsidRPr="00C67CF3">
        <w:rPr>
          <w:rFonts w:ascii="Cambria" w:hAnsi="Cambria" w:cs="Arial"/>
          <w:b/>
          <w:color w:val="000000" w:themeColor="text1"/>
        </w:rPr>
        <w:t xml:space="preserve"> </w:t>
      </w:r>
      <w:r w:rsidRPr="00C67CF3">
        <w:rPr>
          <w:rFonts w:ascii="Cambria" w:hAnsi="Cambria" w:cs="Arial"/>
          <w:b/>
          <w:color w:val="000000" w:themeColor="text1"/>
        </w:rPr>
        <w:noBreakHyphen/>
      </w:r>
      <w:r w:rsidRPr="00C67CF3">
        <w:rPr>
          <w:rFonts w:ascii="Cambria" w:hAnsi="Cambria" w:cs="Arial"/>
          <w:color w:val="000000" w:themeColor="text1"/>
        </w:rPr>
        <w:t xml:space="preserve"> Os casos omissos serão resolvidos de acordo com a Lei Federal 8.666/93, Lei 10.520/02 e demais normas aplicáveis. Subsidiariamente, aplicar</w:t>
      </w:r>
      <w:r w:rsidRPr="00C67CF3">
        <w:rPr>
          <w:rFonts w:ascii="Cambria" w:hAnsi="Cambria" w:cs="Arial"/>
          <w:color w:val="000000" w:themeColor="text1"/>
        </w:rPr>
        <w:noBreakHyphen/>
        <w:t>se</w:t>
      </w:r>
      <w:r w:rsidRPr="00C67CF3">
        <w:rPr>
          <w:rFonts w:ascii="Cambria" w:hAnsi="Cambria" w:cs="Arial"/>
          <w:color w:val="000000" w:themeColor="text1"/>
        </w:rPr>
        <w:noBreakHyphen/>
        <w:t>ão os princípios gerais de Direito.</w:t>
      </w:r>
    </w:p>
    <w:p w:rsidR="006A2BEE" w:rsidRPr="00C67CF3" w:rsidRDefault="006A2BEE">
      <w:pPr>
        <w:jc w:val="center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jc w:val="center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Papagaios/MG, </w:t>
      </w:r>
      <w:r w:rsidR="009C5FFD" w:rsidRPr="00C67CF3">
        <w:rPr>
          <w:rFonts w:ascii="Cambria" w:hAnsi="Cambria" w:cs="Arial"/>
          <w:color w:val="000000" w:themeColor="text1"/>
        </w:rPr>
        <w:t>02 de janeiro de 2020</w:t>
      </w:r>
      <w:r w:rsidRPr="00C67CF3">
        <w:rPr>
          <w:rFonts w:ascii="Cambria" w:hAnsi="Cambria" w:cs="Arial"/>
          <w:color w:val="000000" w:themeColor="text1"/>
        </w:rPr>
        <w:t>.</w:t>
      </w: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6A2BEE">
      <w:pPr>
        <w:jc w:val="both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jc w:val="center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>____________________________</w:t>
      </w:r>
    </w:p>
    <w:p w:rsidR="006A2BEE" w:rsidRPr="006047C1" w:rsidRDefault="00900114">
      <w:pPr>
        <w:jc w:val="center"/>
        <w:rPr>
          <w:rFonts w:ascii="Cambria" w:hAnsi="Cambria" w:cs="Arial"/>
          <w:b/>
          <w:i/>
          <w:color w:val="000000" w:themeColor="text1"/>
        </w:rPr>
      </w:pPr>
      <w:r w:rsidRPr="006047C1">
        <w:rPr>
          <w:rFonts w:ascii="Cambria" w:hAnsi="Cambria" w:cs="Arial"/>
          <w:b/>
          <w:i/>
          <w:color w:val="000000" w:themeColor="text1"/>
        </w:rPr>
        <w:t>Município de Papagaios/MG</w:t>
      </w:r>
    </w:p>
    <w:p w:rsidR="00900114" w:rsidRPr="00C67CF3" w:rsidRDefault="00900114">
      <w:pPr>
        <w:jc w:val="center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>Mário Reis Filgueiras</w:t>
      </w:r>
    </w:p>
    <w:p w:rsidR="006A2BEE" w:rsidRPr="00C67CF3" w:rsidRDefault="006A2BEE">
      <w:pPr>
        <w:jc w:val="center"/>
        <w:rPr>
          <w:rFonts w:ascii="Cambria" w:hAnsi="Cambria" w:cs="Arial"/>
          <w:color w:val="000000" w:themeColor="text1"/>
        </w:rPr>
      </w:pPr>
    </w:p>
    <w:p w:rsidR="006A2BEE" w:rsidRPr="00C67CF3" w:rsidRDefault="006A2BEE">
      <w:pPr>
        <w:jc w:val="center"/>
        <w:rPr>
          <w:rFonts w:ascii="Cambria" w:hAnsi="Cambria" w:cs="Arial"/>
          <w:color w:val="000000" w:themeColor="text1"/>
        </w:rPr>
      </w:pPr>
    </w:p>
    <w:p w:rsidR="006A2BEE" w:rsidRPr="00C67CF3" w:rsidRDefault="00DF1E02">
      <w:pPr>
        <w:jc w:val="center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>____________________________</w:t>
      </w:r>
    </w:p>
    <w:p w:rsidR="006A2BEE" w:rsidRPr="006047C1" w:rsidRDefault="00135CCB">
      <w:pPr>
        <w:jc w:val="center"/>
        <w:rPr>
          <w:rFonts w:ascii="Cambria" w:hAnsi="Cambria" w:cs="Arial"/>
          <w:b/>
          <w:i/>
          <w:color w:val="000000" w:themeColor="text1"/>
        </w:rPr>
      </w:pPr>
      <w:r>
        <w:rPr>
          <w:rFonts w:ascii="Cambria" w:hAnsi="Cambria" w:cs="Arial"/>
          <w:b/>
          <w:i/>
          <w:color w:val="000000" w:themeColor="text1"/>
        </w:rPr>
        <w:t>Difarmed Comércio de Medicamentos Ltda - EPP</w:t>
      </w:r>
    </w:p>
    <w:p w:rsidR="008953AB" w:rsidRPr="00C67CF3" w:rsidRDefault="008953AB">
      <w:pPr>
        <w:jc w:val="center"/>
        <w:rPr>
          <w:rFonts w:ascii="Cambria" w:hAnsi="Cambria" w:cs="Arial"/>
          <w:color w:val="000000" w:themeColor="text1"/>
        </w:rPr>
      </w:pPr>
      <w:r w:rsidRPr="00C67CF3">
        <w:rPr>
          <w:rFonts w:ascii="Cambria" w:hAnsi="Cambria" w:cs="Arial"/>
          <w:color w:val="000000" w:themeColor="text1"/>
        </w:rPr>
        <w:t xml:space="preserve">CNPJ/MF </w:t>
      </w:r>
      <w:r w:rsidR="00135CCB">
        <w:rPr>
          <w:rFonts w:ascii="Cambria" w:hAnsi="Cambria" w:cs="Arial"/>
          <w:color w:val="000000" w:themeColor="text1"/>
        </w:rPr>
        <w:t>08.795.066/0001-27</w:t>
      </w:r>
    </w:p>
    <w:sectPr w:rsidR="008953AB" w:rsidRPr="00C67CF3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55" w:rsidRDefault="00B22855">
      <w:r>
        <w:separator/>
      </w:r>
    </w:p>
  </w:endnote>
  <w:endnote w:type="continuationSeparator" w:id="0">
    <w:p w:rsidR="00B22855" w:rsidRDefault="00B2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EE" w:rsidRDefault="00DF1E02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6A2BEE" w:rsidRDefault="00DF1E02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55" w:rsidRDefault="00B22855">
      <w:r>
        <w:separator/>
      </w:r>
    </w:p>
  </w:footnote>
  <w:footnote w:type="continuationSeparator" w:id="0">
    <w:p w:rsidR="00B22855" w:rsidRDefault="00B22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6A2BEE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A2BEE" w:rsidRDefault="00DF1E02">
          <w:pPr>
            <w:pStyle w:val="Cabealho"/>
            <w:jc w:val="center"/>
          </w:pPr>
          <w:r>
            <w:rPr>
              <w:noProof/>
            </w:rPr>
            <w:drawing>
              <wp:anchor distT="0" distB="0" distL="0" distR="0" simplePos="0" relativeHeight="69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6A2BEE" w:rsidRDefault="00DF1E0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6A2BEE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A2BEE" w:rsidRDefault="006A2BEE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A2BEE" w:rsidRDefault="00DF1E0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6A2BEE" w:rsidRDefault="006A2BEE">
    <w:pPr>
      <w:pStyle w:val="Cabealho"/>
    </w:pPr>
  </w:p>
  <w:p w:rsidR="006A2BEE" w:rsidRDefault="00DF1E02">
    <w:pPr>
      <w:pStyle w:val="Cabealho"/>
    </w:pPr>
    <w:r>
      <w:rPr>
        <w:noProof/>
      </w:rPr>
      <w:drawing>
        <wp:anchor distT="0" distB="0" distL="0" distR="0" simplePos="0" relativeHeight="35" behindDoc="1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079D"/>
    <w:multiLevelType w:val="multilevel"/>
    <w:tmpl w:val="7DFC8C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EE"/>
    <w:rsid w:val="00034CA4"/>
    <w:rsid w:val="000772D1"/>
    <w:rsid w:val="000950FC"/>
    <w:rsid w:val="00135CCB"/>
    <w:rsid w:val="00300148"/>
    <w:rsid w:val="00323324"/>
    <w:rsid w:val="003B05E4"/>
    <w:rsid w:val="00416B47"/>
    <w:rsid w:val="004448D0"/>
    <w:rsid w:val="004962E8"/>
    <w:rsid w:val="0059157A"/>
    <w:rsid w:val="006047C1"/>
    <w:rsid w:val="00680139"/>
    <w:rsid w:val="006A2BEE"/>
    <w:rsid w:val="006F3D4C"/>
    <w:rsid w:val="007A5243"/>
    <w:rsid w:val="008953AB"/>
    <w:rsid w:val="008A2944"/>
    <w:rsid w:val="00900114"/>
    <w:rsid w:val="009C5FFD"/>
    <w:rsid w:val="009D2FAC"/>
    <w:rsid w:val="00B052E0"/>
    <w:rsid w:val="00B22855"/>
    <w:rsid w:val="00B74CA0"/>
    <w:rsid w:val="00C67CF3"/>
    <w:rsid w:val="00C908BC"/>
    <w:rsid w:val="00D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3EE49-D754-4360-9875-D4485CA9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  <w:b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ascii="Verdana" w:hAnsi="Verdana" w:cs="Arial"/>
      <w:b/>
      <w:color w:val="auto"/>
      <w:sz w:val="22"/>
      <w:szCs w:val="22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qFormat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2189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7</cp:revision>
  <cp:lastPrinted>2020-01-17T16:04:00Z</cp:lastPrinted>
  <dcterms:created xsi:type="dcterms:W3CDTF">2020-01-20T15:52:00Z</dcterms:created>
  <dcterms:modified xsi:type="dcterms:W3CDTF">2020-01-20T15:59:00Z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