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422E81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422E81">
        <w:rPr>
          <w:rFonts w:ascii="Verdana" w:hAnsi="Verdana"/>
          <w:b/>
          <w:sz w:val="21"/>
          <w:szCs w:val="21"/>
        </w:rPr>
        <w:t xml:space="preserve">PROCESSO LICITATÓRIO Nº </w:t>
      </w:r>
      <w:r w:rsidR="00365E83" w:rsidRPr="00422E81">
        <w:rPr>
          <w:rFonts w:ascii="Verdana" w:hAnsi="Verdana"/>
          <w:b/>
          <w:sz w:val="21"/>
          <w:szCs w:val="21"/>
        </w:rPr>
        <w:t>022/2019</w:t>
      </w:r>
    </w:p>
    <w:p w:rsidR="003214FB" w:rsidRPr="00422E8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365E83" w:rsidRPr="00422E81">
        <w:rPr>
          <w:rFonts w:ascii="Verdana" w:hAnsi="Verdana" w:cs="Arial"/>
          <w:b/>
          <w:sz w:val="21"/>
          <w:szCs w:val="21"/>
        </w:rPr>
        <w:t>014/2019</w:t>
      </w:r>
    </w:p>
    <w:p w:rsidR="003214FB" w:rsidRPr="00422E8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ATA DE REGISTRO DE PREÇOS Nº </w:t>
      </w:r>
      <w:r w:rsidR="00A9497E" w:rsidRPr="00422E81">
        <w:rPr>
          <w:rFonts w:ascii="Verdana" w:hAnsi="Verdana" w:cs="Arial"/>
          <w:sz w:val="21"/>
          <w:szCs w:val="21"/>
        </w:rPr>
        <w:t>013/2019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PREGÃO Nº </w:t>
      </w:r>
      <w:r w:rsidR="00365E83" w:rsidRPr="00422E81">
        <w:rPr>
          <w:rFonts w:ascii="Verdana" w:hAnsi="Verdana" w:cs="Arial"/>
          <w:sz w:val="21"/>
          <w:szCs w:val="21"/>
        </w:rPr>
        <w:t>022/2019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PROCESSO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VALIDADE: 12 meses.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6D275E" w:rsidRPr="00422E8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Aos </w:t>
      </w:r>
      <w:r w:rsidR="00A22A7F" w:rsidRPr="00422E81">
        <w:rPr>
          <w:rFonts w:ascii="Verdana" w:hAnsi="Verdana" w:cs="Arial"/>
          <w:sz w:val="21"/>
          <w:szCs w:val="21"/>
        </w:rPr>
        <w:t xml:space="preserve">09 (nove) </w:t>
      </w:r>
      <w:r w:rsidRPr="00422E81">
        <w:rPr>
          <w:rFonts w:ascii="Verdana" w:hAnsi="Verdana" w:cs="Arial"/>
          <w:sz w:val="21"/>
          <w:szCs w:val="21"/>
        </w:rPr>
        <w:t xml:space="preserve">dias do mês de </w:t>
      </w:r>
      <w:r w:rsidR="00A22A7F" w:rsidRPr="00422E81">
        <w:rPr>
          <w:rFonts w:ascii="Verdana" w:hAnsi="Verdana" w:cs="Arial"/>
          <w:sz w:val="21"/>
          <w:szCs w:val="21"/>
        </w:rPr>
        <w:t xml:space="preserve">abril de </w:t>
      </w:r>
      <w:r w:rsidR="00C124A8" w:rsidRPr="00422E81">
        <w:rPr>
          <w:rFonts w:ascii="Verdana" w:hAnsi="Verdana" w:cs="Arial"/>
          <w:sz w:val="21"/>
          <w:szCs w:val="21"/>
        </w:rPr>
        <w:t>2019</w:t>
      </w:r>
      <w:r w:rsidRPr="00422E81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9A6C3F" w:rsidRPr="00422E81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422E8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E78A2" w:rsidRPr="00422E8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E78A2" w:rsidRPr="00422E81">
        <w:rPr>
          <w:rFonts w:ascii="Verdana" w:hAnsi="Verdana" w:cs="Arial"/>
          <w:sz w:val="21"/>
          <w:szCs w:val="21"/>
        </w:rPr>
        <w:t>Filgueiras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365E83" w:rsidRPr="00422E81">
        <w:rPr>
          <w:rFonts w:ascii="Verdana" w:hAnsi="Verdana" w:cs="Arial"/>
          <w:sz w:val="21"/>
          <w:szCs w:val="21"/>
        </w:rPr>
        <w:t>022/2019</w:t>
      </w:r>
      <w:r w:rsidRPr="00422E81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422E81" w:rsidRPr="00422E81">
        <w:rPr>
          <w:rFonts w:ascii="Verdana" w:hAnsi="Verdana" w:cs="Arial"/>
          <w:b/>
          <w:sz w:val="21"/>
          <w:szCs w:val="21"/>
        </w:rPr>
        <w:t>WTRADE INTERMEDIAÇÃO DE NEGOCIOS LTDA</w:t>
      </w:r>
      <w:r w:rsidR="00422E81" w:rsidRPr="00422E81">
        <w:rPr>
          <w:rFonts w:ascii="Verdana" w:hAnsi="Verdana" w:cs="Arial"/>
          <w:sz w:val="21"/>
          <w:szCs w:val="21"/>
        </w:rPr>
        <w:t xml:space="preserve">, localizado na Rua Jacson Passos, nº. 88, Lojas 1/2, bairro Goiânia, Belo Horizonte/MG, CEP 31.960-400, cujo CNPJ é 14.937.152/0001-20, neste ato representado por </w:t>
      </w:r>
      <w:proofErr w:type="spellStart"/>
      <w:r w:rsidR="00422E81" w:rsidRPr="00422E81">
        <w:rPr>
          <w:rFonts w:ascii="Verdana" w:hAnsi="Verdana" w:cs="Arial"/>
          <w:sz w:val="21"/>
          <w:szCs w:val="21"/>
        </w:rPr>
        <w:t>Hernane</w:t>
      </w:r>
      <w:proofErr w:type="spellEnd"/>
      <w:r w:rsidR="00422E81" w:rsidRPr="00422E81">
        <w:rPr>
          <w:rFonts w:ascii="Verdana" w:hAnsi="Verdana" w:cs="Arial"/>
          <w:sz w:val="21"/>
          <w:szCs w:val="21"/>
        </w:rPr>
        <w:t xml:space="preserve"> Santos Fonseca, inscrito no CPF/MF sob o nº. 001.440.46-44, conforme quadro abaixo</w:t>
      </w:r>
      <w:r w:rsidR="006D275E" w:rsidRPr="00422E81">
        <w:rPr>
          <w:rFonts w:ascii="Verdana" w:hAnsi="Verdana" w:cs="Arial"/>
          <w:sz w:val="21"/>
          <w:szCs w:val="21"/>
        </w:rPr>
        <w:t>:</w:t>
      </w:r>
    </w:p>
    <w:p w:rsidR="003214FB" w:rsidRPr="00422E8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248"/>
        <w:gridCol w:w="879"/>
        <w:gridCol w:w="904"/>
        <w:gridCol w:w="1013"/>
        <w:gridCol w:w="904"/>
        <w:gridCol w:w="1005"/>
        <w:gridCol w:w="904"/>
        <w:gridCol w:w="1005"/>
      </w:tblGrid>
      <w:tr w:rsidR="00422E81" w:rsidRPr="00422E81" w:rsidTr="00422E81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763" w:type="dxa"/>
            <w:gridSpan w:val="7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17" w:type="dxa"/>
            <w:gridSpan w:val="3"/>
            <w:shd w:val="clear" w:color="000000" w:fill="BFBFB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73" w:type="dxa"/>
            <w:gridSpan w:val="2"/>
            <w:shd w:val="clear" w:color="000000" w:fill="BFBFB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973" w:type="dxa"/>
            <w:gridSpan w:val="2"/>
            <w:shd w:val="clear" w:color="000000" w:fill="BFBFB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422E81" w:rsidRPr="00422E81" w:rsidTr="00422E81">
        <w:trPr>
          <w:trHeight w:val="194"/>
        </w:trPr>
        <w:tc>
          <w:tcPr>
            <w:tcW w:w="559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vMerge w:val="restart"/>
            <w:shd w:val="clear" w:color="000000" w:fill="D9D9D9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04" w:type="dxa"/>
            <w:vMerge w:val="restart"/>
            <w:shd w:val="clear" w:color="000000" w:fill="D9D9D9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59" w:type="dxa"/>
            <w:vMerge w:val="restart"/>
            <w:shd w:val="clear" w:color="000000" w:fill="D9D9D9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43" w:type="dxa"/>
            <w:vMerge w:val="restart"/>
            <w:shd w:val="clear" w:color="000000" w:fill="D9D9D9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43" w:type="dxa"/>
            <w:vMerge w:val="restart"/>
            <w:shd w:val="clear" w:color="000000" w:fill="D9D9D9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422E81" w:rsidRPr="00422E81" w:rsidTr="00422E81">
        <w:trPr>
          <w:trHeight w:val="194"/>
        </w:trPr>
        <w:tc>
          <w:tcPr>
            <w:tcW w:w="559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22E81" w:rsidRPr="00422E81" w:rsidRDefault="00422E81" w:rsidP="00422E81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Desengordurante </w:t>
            </w: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multi-uso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. Indicado para limpeza de todas superfícies laváveis como: cozinhas, banheiros, pias, azulejos, plásticos e esmaltados, fogões e superfícies laváveis. Indicado para remover gorduras, fuligem, poeira, marcas de dedos e saltos, riscos de lápis, etc. Dimensão: 6 </w:t>
            </w: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diâm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x 25 cm. Peso: 0.555. Embalagem 500 ml. Com registro no “INMETRO”. Tipo "Veja" ou similar. (Registro Anvisa)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2,02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4.040,00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4.040,00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20.200,00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Acido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Muriatico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liquido composto de HCL H2O incolor para limpeza em geral Frasco de 1 litro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3,58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1.432,00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1.432,00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7.160,00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Espanador comum de pena. Cabo de Madeira, Plastificado 30 cm. Cerdas de Pena de Avestruz.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10,50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525,00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525,00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2.625,00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Lã de aço - Esponja de lã de aço carbono, de textura macia, isenta de </w:t>
            </w: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 xml:space="preserve">sinais de oxidação, biodegradável, sem perfume, embalagem com peso líquido mínimo de 60 (sessenta) gramas. </w:t>
            </w: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Pct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60 gr. Pacote com 08 unid. APLICAÇÃO: Utilizado na lavagem de utensílios, o material deverá ser capaz de remover resíduos incrustados e atender a limpeza em geral. Devendo constar da embalagem a identificação do fabricante, o nome do produto, a data de fabricação e prazo de validade ou apenas a data final de validade, peso líquido, número de unidades e demais informações exigidas pela legislação em vigor. Resistentes ao armazenamento e dotado de características próprias à preservação do material, onde deverá constar a indicação quantitativa referente ao número de embalagens e demais informações exigidas pela legislação em vigor. PRAZO DE VALIDADE: Deverá o produto manter suas características inalteradas quando abrigado em local seco, por um período mínimo de 12 (doze) meses a partir da data de entrega. Caso o prazo de validade estabelecido pelo fabricante do produto ultrapasse o mínimo exigido, prevalecerá o maior. Tipo "Bombril" ou similar.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1,04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2.080,00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2.080,00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10.400,00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29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Luva de limpeza 100</w:t>
            </w:r>
            <w:proofErr w:type="gram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%  de</w:t>
            </w:r>
            <w:proofErr w:type="gram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látex natural com forro 100% cento de algodão, antialérgica. Possui bordas ajustadas que aumentam a proteção, evitando a entrada de água. Unidade disponível no tamanho P - M - G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2,49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9.960,00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9.960,00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49.800,00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Luva de plástico transparente descartável. Pacote com 100 unidades.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1,99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398,00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398,00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1.990,00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Palha de aço, número 02. Material: aço carbono, Referência: nº 2. </w:t>
            </w: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Aplicação: limpeza geral. Peso: pacote com 25 g. Qualidade igual ou superior a Bombril.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800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0,79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632,00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632,00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3.160,00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38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Papel toalha, branco, não reciclado, pacote com 2 rolos com 50 toalhas cada. Medindo 22 x 20 cm. Apresentar junto a proposta Laudo </w:t>
            </w: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Microbiologico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Ficha </w:t>
            </w: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Tecnica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4,20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4.200,00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4.200,00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21.000,00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Pasta para limpeza, pasta de pinho, produto viscoso à base de uma combinação de sabão e agente mineral, destinado para a limpeza de superfícies. Limpa fácil sem fazer grande esforço.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2,99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2.990,00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2.990,00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14.950,00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Sabão em pó para lavagem de roupas e limpeza em geral. Biodegradável. Embalado em caixas de papelão, contendo 1kg.Sabão em pó azul.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4,65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13.950,00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13.950,00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69.750,00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Sabonete líquido, embalagem plástica de 5 litros - Sabonete líquido, cor branca perolada, cremoso, bactericida, PH neutro, na fragrância de erva-doce, acondicionado em galão de 5 litros. Com dados de identificação do produto, marca do fabricante, data de fabricação e prazo de validad</w:t>
            </w:r>
            <w:bookmarkStart w:id="0" w:name="_GoBack"/>
            <w:bookmarkEnd w:id="0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e. Registrado no Ministério da Saúde e químico responsável.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14,29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4.287,00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4.287,00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21.435,00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Saco plástico lixo, 50 litros, reforçado, 6 micras, cor preta, largura 63, altura 80, de Polietileno. Aplicação: uso doméstico. Pacote com 10 unidades. Deverá estar em conformidade com as normas da ABNT NBR 9190/9191/13055/13056.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1,39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4.170,00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4.170,00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20.850,00</w:t>
            </w:r>
          </w:p>
        </w:tc>
      </w:tr>
      <w:tr w:rsidR="00422E81" w:rsidRPr="00422E81" w:rsidTr="00422E81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Suporte para papel toalha ABS branco de três dobras </w:t>
            </w:r>
            <w:proofErr w:type="spellStart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interfolhadas</w:t>
            </w:r>
            <w:proofErr w:type="spellEnd"/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para afixar na parede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23,99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1.199,50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1.199,50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422E81" w:rsidRPr="00422E81" w:rsidRDefault="00422E81" w:rsidP="00422E8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22E81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5.997,50</w:t>
            </w:r>
          </w:p>
        </w:tc>
      </w:tr>
    </w:tbl>
    <w:p w:rsidR="003214FB" w:rsidRPr="00422E8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01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422E81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I </w:t>
      </w:r>
      <w:r w:rsidRPr="00422E81">
        <w:rPr>
          <w:rFonts w:ascii="Verdana" w:hAnsi="Verdana"/>
          <w:sz w:val="21"/>
          <w:szCs w:val="21"/>
        </w:rPr>
        <w:noBreakHyphen/>
        <w:t xml:space="preserve"> Os objetos do fornecimento são o</w:t>
      </w:r>
      <w:r w:rsidR="007714AF" w:rsidRPr="00422E81">
        <w:rPr>
          <w:rFonts w:ascii="Verdana" w:hAnsi="Verdana"/>
          <w:sz w:val="21"/>
          <w:szCs w:val="21"/>
        </w:rPr>
        <w:t>s produtos constantes do Anexo III</w:t>
      </w:r>
      <w:r w:rsidRPr="00422E81">
        <w:rPr>
          <w:rFonts w:ascii="Verdana" w:hAnsi="Verdana"/>
          <w:sz w:val="21"/>
          <w:szCs w:val="21"/>
        </w:rPr>
        <w:t xml:space="preserve"> </w:t>
      </w:r>
      <w:r w:rsidR="00C6742D" w:rsidRPr="00422E81">
        <w:rPr>
          <w:rFonts w:ascii="Verdana" w:hAnsi="Verdana"/>
          <w:sz w:val="21"/>
          <w:szCs w:val="21"/>
        </w:rPr>
        <w:t>do Edital</w:t>
      </w:r>
      <w:r w:rsidRPr="00422E81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422E81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lastRenderedPageBreak/>
        <w:t xml:space="preserve">02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422E81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03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422E8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04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422E81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422E81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05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06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22E81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422E81">
        <w:rPr>
          <w:rFonts w:ascii="Verdana" w:hAnsi="Verdana" w:cs="Arial"/>
          <w:sz w:val="21"/>
          <w:szCs w:val="21"/>
        </w:rPr>
        <w:t>definitivo pela unidade requisitante</w:t>
      </w:r>
      <w:r w:rsidRPr="00422E81">
        <w:rPr>
          <w:rFonts w:ascii="Verdana" w:hAnsi="Verdana" w:cs="Arial"/>
          <w:bCs/>
          <w:sz w:val="21"/>
          <w:szCs w:val="21"/>
        </w:rPr>
        <w:t xml:space="preserve"> do objeto, </w:t>
      </w:r>
      <w:r w:rsidRPr="00422E81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422E81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</w:t>
      </w:r>
      <w:r w:rsidRPr="00422E81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I= (TX/100)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422E81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422E81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422E81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07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422E81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IV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V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VI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VII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08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422E81">
        <w:rPr>
          <w:rFonts w:ascii="Verdana" w:hAnsi="Verdana" w:cs="Arial"/>
          <w:sz w:val="21"/>
          <w:szCs w:val="21"/>
        </w:rPr>
        <w:t>á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A. Advertência;</w:t>
      </w: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422E8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422E8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422E81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– </w:t>
      </w:r>
      <w:r w:rsidRPr="00422E81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422E81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422E81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09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10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422E81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11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422E81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422E81">
        <w:rPr>
          <w:rFonts w:ascii="Verdana" w:hAnsi="Verdana" w:cs="Arial"/>
          <w:sz w:val="21"/>
          <w:szCs w:val="21"/>
        </w:rPr>
        <w:t>a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B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C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D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422E81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E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F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422E81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G </w:t>
      </w:r>
      <w:r w:rsidRPr="00422E81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422E8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>Pelas detentoras, quando</w:t>
      </w:r>
      <w:r w:rsidRPr="00422E8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422E8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422E81">
        <w:rPr>
          <w:rFonts w:ascii="Verdana" w:hAnsi="Verdana" w:cs="Arial"/>
          <w:sz w:val="21"/>
          <w:szCs w:val="21"/>
        </w:rPr>
        <w:t>a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422E81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12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I</w:t>
      </w:r>
      <w:r w:rsidRPr="00422E81">
        <w:rPr>
          <w:rFonts w:ascii="Verdana" w:hAnsi="Verdana" w:cs="Arial"/>
          <w:b/>
          <w:sz w:val="21"/>
          <w:szCs w:val="21"/>
        </w:rPr>
        <w:t xml:space="preserve"> </w:t>
      </w:r>
      <w:r w:rsidRPr="00422E81">
        <w:rPr>
          <w:rFonts w:ascii="Verdana" w:hAnsi="Verdana" w:cs="Arial"/>
          <w:b/>
          <w:sz w:val="21"/>
          <w:szCs w:val="21"/>
        </w:rPr>
        <w:noBreakHyphen/>
      </w:r>
      <w:r w:rsidRPr="00422E81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422E81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422E81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422E81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Papagaios,</w:t>
      </w:r>
      <w:r w:rsidR="004A4163" w:rsidRPr="00422E81">
        <w:rPr>
          <w:rFonts w:ascii="Verdana" w:hAnsi="Verdana" w:cs="Arial"/>
          <w:sz w:val="21"/>
          <w:szCs w:val="21"/>
        </w:rPr>
        <w:t xml:space="preserve"> 09 de abril de 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422E81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422E81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422E8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 w:rsidRPr="00422E81">
        <w:rPr>
          <w:rFonts w:ascii="Verdana" w:hAnsi="Verdana" w:cs="Arial"/>
          <w:sz w:val="21"/>
          <w:szCs w:val="21"/>
        </w:rPr>
        <w:t>Wtrade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 Intermediação de Negócios </w:t>
      </w:r>
      <w:proofErr w:type="spellStart"/>
      <w:r w:rsidRPr="00422E81">
        <w:rPr>
          <w:rFonts w:ascii="Verdana" w:hAnsi="Verdana" w:cs="Arial"/>
          <w:sz w:val="21"/>
          <w:szCs w:val="21"/>
        </w:rPr>
        <w:t>Ltda</w:t>
      </w:r>
      <w:proofErr w:type="spellEnd"/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CNPJ/MF 21.856.981/0001-43</w:t>
      </w: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3214FB" w:rsidRPr="00422E81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98" w:rsidRDefault="009C6298" w:rsidP="00E00126">
      <w:r>
        <w:separator/>
      </w:r>
    </w:p>
  </w:endnote>
  <w:endnote w:type="continuationSeparator" w:id="0">
    <w:p w:rsidR="009C6298" w:rsidRDefault="009C629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EB" w:rsidRPr="00320A16" w:rsidRDefault="002F65EB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98" w:rsidRDefault="009C6298" w:rsidP="00E00126">
      <w:r>
        <w:separator/>
      </w:r>
    </w:p>
  </w:footnote>
  <w:footnote w:type="continuationSeparator" w:id="0">
    <w:p w:rsidR="009C6298" w:rsidRDefault="009C629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F65EB" w:rsidTr="00E33182">
      <w:trPr>
        <w:trHeight w:val="781"/>
      </w:trPr>
      <w:tc>
        <w:tcPr>
          <w:tcW w:w="2127" w:type="dxa"/>
          <w:vMerge w:val="restart"/>
          <w:vAlign w:val="center"/>
        </w:tcPr>
        <w:p w:rsidR="002F65EB" w:rsidRDefault="002F65EB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F65EB" w:rsidRPr="000015CB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F65EB" w:rsidTr="000015CB">
      <w:trPr>
        <w:trHeight w:val="785"/>
      </w:trPr>
      <w:tc>
        <w:tcPr>
          <w:tcW w:w="2127" w:type="dxa"/>
          <w:vMerge/>
        </w:tcPr>
        <w:p w:rsidR="002F65EB" w:rsidRDefault="002F65EB">
          <w:pPr>
            <w:pStyle w:val="Cabealho"/>
          </w:pPr>
        </w:p>
      </w:tc>
      <w:tc>
        <w:tcPr>
          <w:tcW w:w="8930" w:type="dxa"/>
        </w:tcPr>
        <w:p w:rsidR="002F65EB" w:rsidRPr="002936D7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F65EB" w:rsidRDefault="002F65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094D"/>
    <w:rsid w:val="00014B89"/>
    <w:rsid w:val="00016A97"/>
    <w:rsid w:val="00025604"/>
    <w:rsid w:val="00045E72"/>
    <w:rsid w:val="00057E99"/>
    <w:rsid w:val="000810C5"/>
    <w:rsid w:val="00090E79"/>
    <w:rsid w:val="000974E5"/>
    <w:rsid w:val="000A0F56"/>
    <w:rsid w:val="000A7123"/>
    <w:rsid w:val="000C39D1"/>
    <w:rsid w:val="000F2E3E"/>
    <w:rsid w:val="001062A7"/>
    <w:rsid w:val="0011310E"/>
    <w:rsid w:val="00114C50"/>
    <w:rsid w:val="001463D3"/>
    <w:rsid w:val="00165B5C"/>
    <w:rsid w:val="0017302B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2CA1"/>
    <w:rsid w:val="002936D7"/>
    <w:rsid w:val="002A6EB1"/>
    <w:rsid w:val="002C7B5C"/>
    <w:rsid w:val="002C7E36"/>
    <w:rsid w:val="002F65EB"/>
    <w:rsid w:val="002F68A3"/>
    <w:rsid w:val="0030551D"/>
    <w:rsid w:val="003148D5"/>
    <w:rsid w:val="00320A16"/>
    <w:rsid w:val="003214FB"/>
    <w:rsid w:val="00325F08"/>
    <w:rsid w:val="003418AE"/>
    <w:rsid w:val="003455E3"/>
    <w:rsid w:val="00365E83"/>
    <w:rsid w:val="00372DC2"/>
    <w:rsid w:val="00375C77"/>
    <w:rsid w:val="00386875"/>
    <w:rsid w:val="003951DD"/>
    <w:rsid w:val="003B06BE"/>
    <w:rsid w:val="003C73DD"/>
    <w:rsid w:val="003F02A6"/>
    <w:rsid w:val="003F5678"/>
    <w:rsid w:val="00407D55"/>
    <w:rsid w:val="00410E45"/>
    <w:rsid w:val="00421118"/>
    <w:rsid w:val="00422E81"/>
    <w:rsid w:val="004442B0"/>
    <w:rsid w:val="00454B87"/>
    <w:rsid w:val="00455796"/>
    <w:rsid w:val="0046368B"/>
    <w:rsid w:val="00477F21"/>
    <w:rsid w:val="004A4163"/>
    <w:rsid w:val="004B5890"/>
    <w:rsid w:val="004C460E"/>
    <w:rsid w:val="004F6027"/>
    <w:rsid w:val="00511C95"/>
    <w:rsid w:val="00513AE8"/>
    <w:rsid w:val="005235F1"/>
    <w:rsid w:val="005320BA"/>
    <w:rsid w:val="0054206F"/>
    <w:rsid w:val="005639A2"/>
    <w:rsid w:val="00573AF3"/>
    <w:rsid w:val="00580C35"/>
    <w:rsid w:val="00596F67"/>
    <w:rsid w:val="005B6EFE"/>
    <w:rsid w:val="005C3B74"/>
    <w:rsid w:val="005D21C3"/>
    <w:rsid w:val="005F34AC"/>
    <w:rsid w:val="005F715C"/>
    <w:rsid w:val="0062711B"/>
    <w:rsid w:val="00647F9B"/>
    <w:rsid w:val="00650EF7"/>
    <w:rsid w:val="00684E24"/>
    <w:rsid w:val="006A4CAB"/>
    <w:rsid w:val="006B3C89"/>
    <w:rsid w:val="006D275E"/>
    <w:rsid w:val="006D7146"/>
    <w:rsid w:val="006E4F98"/>
    <w:rsid w:val="006E7555"/>
    <w:rsid w:val="007020E9"/>
    <w:rsid w:val="00710506"/>
    <w:rsid w:val="00722A59"/>
    <w:rsid w:val="00750AAA"/>
    <w:rsid w:val="00754F58"/>
    <w:rsid w:val="007714AF"/>
    <w:rsid w:val="007753B2"/>
    <w:rsid w:val="00790095"/>
    <w:rsid w:val="007920F9"/>
    <w:rsid w:val="007B099B"/>
    <w:rsid w:val="007B2225"/>
    <w:rsid w:val="007E1E17"/>
    <w:rsid w:val="007F2573"/>
    <w:rsid w:val="007F586D"/>
    <w:rsid w:val="008257EF"/>
    <w:rsid w:val="00834053"/>
    <w:rsid w:val="00861C73"/>
    <w:rsid w:val="008835B4"/>
    <w:rsid w:val="00892F8B"/>
    <w:rsid w:val="008A2280"/>
    <w:rsid w:val="008A51F1"/>
    <w:rsid w:val="008B5F41"/>
    <w:rsid w:val="008C661A"/>
    <w:rsid w:val="008D0A2B"/>
    <w:rsid w:val="00914F01"/>
    <w:rsid w:val="00933055"/>
    <w:rsid w:val="0097482B"/>
    <w:rsid w:val="009A6C3F"/>
    <w:rsid w:val="009C6298"/>
    <w:rsid w:val="009C7035"/>
    <w:rsid w:val="009C7BE7"/>
    <w:rsid w:val="009D4EF2"/>
    <w:rsid w:val="009E1CA5"/>
    <w:rsid w:val="009E6215"/>
    <w:rsid w:val="009E6596"/>
    <w:rsid w:val="009E78A2"/>
    <w:rsid w:val="00A06D8F"/>
    <w:rsid w:val="00A21C7B"/>
    <w:rsid w:val="00A22A7F"/>
    <w:rsid w:val="00A43F8E"/>
    <w:rsid w:val="00A50A15"/>
    <w:rsid w:val="00A6317E"/>
    <w:rsid w:val="00A71783"/>
    <w:rsid w:val="00A9497E"/>
    <w:rsid w:val="00AB4166"/>
    <w:rsid w:val="00AC6D3E"/>
    <w:rsid w:val="00B05C91"/>
    <w:rsid w:val="00B14AD7"/>
    <w:rsid w:val="00B20D55"/>
    <w:rsid w:val="00B23595"/>
    <w:rsid w:val="00B45296"/>
    <w:rsid w:val="00B53D45"/>
    <w:rsid w:val="00B63A37"/>
    <w:rsid w:val="00BB0447"/>
    <w:rsid w:val="00BE777A"/>
    <w:rsid w:val="00BF6F9F"/>
    <w:rsid w:val="00C0181F"/>
    <w:rsid w:val="00C07112"/>
    <w:rsid w:val="00C12241"/>
    <w:rsid w:val="00C124A8"/>
    <w:rsid w:val="00C20EE0"/>
    <w:rsid w:val="00C32DFB"/>
    <w:rsid w:val="00C44023"/>
    <w:rsid w:val="00C6742D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E2A3B"/>
    <w:rsid w:val="00DF667F"/>
    <w:rsid w:val="00E00126"/>
    <w:rsid w:val="00E2158B"/>
    <w:rsid w:val="00E3064C"/>
    <w:rsid w:val="00E33182"/>
    <w:rsid w:val="00E512AF"/>
    <w:rsid w:val="00E672E4"/>
    <w:rsid w:val="00E95CA2"/>
    <w:rsid w:val="00EA5881"/>
    <w:rsid w:val="00EC28D8"/>
    <w:rsid w:val="00F161C0"/>
    <w:rsid w:val="00F40B74"/>
    <w:rsid w:val="00F4216E"/>
    <w:rsid w:val="00F4320D"/>
    <w:rsid w:val="00FB371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2019-02-15T17:50:00Z</cp:lastPrinted>
  <dcterms:created xsi:type="dcterms:W3CDTF">2019-04-12T18:36:00Z</dcterms:created>
  <dcterms:modified xsi:type="dcterms:W3CDTF">2019-04-12T18:38:00Z</dcterms:modified>
</cp:coreProperties>
</file>