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043A44" w:rsidRDefault="003214FB" w:rsidP="003214FB">
      <w:pPr>
        <w:jc w:val="both"/>
        <w:rPr>
          <w:rFonts w:ascii="Verdana" w:hAnsi="Verdana"/>
          <w:b/>
          <w:color w:val="000000" w:themeColor="text1"/>
          <w:sz w:val="21"/>
          <w:szCs w:val="21"/>
        </w:rPr>
      </w:pPr>
      <w:r w:rsidRPr="00043A44">
        <w:rPr>
          <w:rFonts w:ascii="Verdana" w:hAnsi="Verdana"/>
          <w:b/>
          <w:color w:val="000000" w:themeColor="text1"/>
          <w:sz w:val="21"/>
          <w:szCs w:val="21"/>
        </w:rPr>
        <w:t xml:space="preserve">PROCESSO LICITATÓRIO Nº </w:t>
      </w:r>
      <w:r w:rsidR="006A119D" w:rsidRPr="00043A44">
        <w:rPr>
          <w:rFonts w:ascii="Verdana" w:hAnsi="Verdana"/>
          <w:b/>
          <w:color w:val="000000" w:themeColor="text1"/>
          <w:sz w:val="21"/>
          <w:szCs w:val="21"/>
        </w:rPr>
        <w:t>084/2019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PREGÃO PRESENCIAL Nº </w:t>
      </w:r>
      <w:r w:rsidR="006A119D" w:rsidRPr="00043A44">
        <w:rPr>
          <w:rFonts w:ascii="Verdana" w:hAnsi="Verdana" w:cs="Arial"/>
          <w:b/>
          <w:color w:val="000000" w:themeColor="text1"/>
          <w:sz w:val="21"/>
          <w:szCs w:val="21"/>
        </w:rPr>
        <w:t>055/2019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000000" w:themeColor="text1"/>
          <w:sz w:val="21"/>
          <w:szCs w:val="21"/>
          <w:u w:val="single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ATA DE REGISTRO DE PREÇOS Nº </w:t>
      </w:r>
      <w:r w:rsidR="0055714C" w:rsidRPr="00043A44">
        <w:rPr>
          <w:rFonts w:ascii="Verdana" w:hAnsi="Verdana" w:cs="Arial"/>
          <w:color w:val="000000" w:themeColor="text1"/>
          <w:sz w:val="21"/>
          <w:szCs w:val="21"/>
        </w:rPr>
        <w:t>044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VALIDADE: 12 meses.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Aos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13 (treze)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dias do mês de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setembro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de 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na sala de licitações, na sede da Prefeitura Municipal, situada na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Avenida Francisco Valadares da Fonseca, nº. 250, bairro Vasco Lopes, Papagaios/MG, CEP 35.669-000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o Exmo. Sr. Prefeito Municipal, Sr.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Mário Reis </w:t>
      </w:r>
      <w:proofErr w:type="spellStart"/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Filgueiras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por deliberação do pregoeiro oficial e equipe de apoio, e por ele homologada conforme 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RESOLVE registrar os preços para os fornecimentos constantes nos anexos desta ata, beneficiário </w:t>
      </w:r>
      <w:r w:rsidR="00D61A39">
        <w:rPr>
          <w:rFonts w:ascii="Verdana" w:hAnsi="Verdana" w:cs="Arial"/>
          <w:b/>
          <w:sz w:val="21"/>
          <w:szCs w:val="21"/>
        </w:rPr>
        <w:t>CENTRAL DOS PRESENTES E PAPELARIA EIRELI</w:t>
      </w:r>
      <w:r w:rsidR="00043A44" w:rsidRPr="00043A44">
        <w:rPr>
          <w:rFonts w:ascii="Verdana" w:hAnsi="Verdana" w:cs="Arial"/>
          <w:sz w:val="21"/>
          <w:szCs w:val="21"/>
        </w:rPr>
        <w:t xml:space="preserve">, localizado na </w:t>
      </w:r>
      <w:r w:rsidR="00D61A39">
        <w:rPr>
          <w:rFonts w:ascii="Verdana" w:hAnsi="Verdana" w:cs="Arial"/>
          <w:sz w:val="21"/>
          <w:szCs w:val="21"/>
        </w:rPr>
        <w:t>Rua Manoel Pinto, nº. 185-A, Centro, Papagaios/MG, CEP 35.669-000</w:t>
      </w:r>
      <w:r w:rsidR="00BF627B">
        <w:rPr>
          <w:rFonts w:ascii="Verdana" w:hAnsi="Verdana" w:cs="Arial"/>
          <w:sz w:val="21"/>
          <w:szCs w:val="21"/>
        </w:rPr>
        <w:t xml:space="preserve">, </w:t>
      </w:r>
      <w:r w:rsidR="00130D4E" w:rsidRPr="00043A44">
        <w:rPr>
          <w:rFonts w:ascii="Verdana" w:hAnsi="Verdana" w:cs="Arial"/>
          <w:sz w:val="21"/>
          <w:szCs w:val="21"/>
        </w:rPr>
        <w:t xml:space="preserve">cujo CNPJ é </w:t>
      </w:r>
      <w:r w:rsidR="00267DBA">
        <w:rPr>
          <w:rFonts w:ascii="Verdana" w:hAnsi="Verdana" w:cs="Arial"/>
          <w:sz w:val="21"/>
          <w:szCs w:val="21"/>
        </w:rPr>
        <w:t>29.646.553/0001-06</w:t>
      </w:r>
      <w:bookmarkStart w:id="0" w:name="_GoBack"/>
      <w:bookmarkEnd w:id="0"/>
      <w:r w:rsidR="00130D4E">
        <w:rPr>
          <w:rFonts w:ascii="Verdana" w:hAnsi="Verdana" w:cs="Arial"/>
          <w:sz w:val="21"/>
          <w:szCs w:val="21"/>
        </w:rPr>
        <w:t xml:space="preserve">, </w:t>
      </w:r>
      <w:r w:rsidR="00043A44" w:rsidRPr="00043A44">
        <w:rPr>
          <w:rFonts w:ascii="Verdana" w:hAnsi="Verdana" w:cs="Arial"/>
          <w:sz w:val="21"/>
          <w:szCs w:val="21"/>
        </w:rPr>
        <w:t xml:space="preserve">neste ato representado por </w:t>
      </w:r>
      <w:proofErr w:type="spellStart"/>
      <w:r w:rsidR="00D61A39">
        <w:rPr>
          <w:rFonts w:ascii="Verdana" w:hAnsi="Verdana" w:cs="Arial"/>
          <w:sz w:val="21"/>
          <w:szCs w:val="21"/>
        </w:rPr>
        <w:t>Leidiane</w:t>
      </w:r>
      <w:proofErr w:type="spellEnd"/>
      <w:r w:rsidR="00D61A39">
        <w:rPr>
          <w:rFonts w:ascii="Verdana" w:hAnsi="Verdana" w:cs="Arial"/>
          <w:sz w:val="21"/>
          <w:szCs w:val="21"/>
        </w:rPr>
        <w:t xml:space="preserve"> Freitas Rezende</w:t>
      </w:r>
      <w:r w:rsidR="00043A44" w:rsidRPr="00043A44">
        <w:rPr>
          <w:rFonts w:ascii="Verdana" w:hAnsi="Verdana" w:cs="Arial"/>
          <w:sz w:val="21"/>
          <w:szCs w:val="21"/>
        </w:rPr>
        <w:t xml:space="preserve">, inscrito no CPF/MF sob o nº. </w:t>
      </w:r>
      <w:r w:rsidR="00D61A39">
        <w:rPr>
          <w:rFonts w:ascii="Verdana" w:hAnsi="Verdana" w:cs="Arial"/>
          <w:sz w:val="21"/>
          <w:szCs w:val="21"/>
        </w:rPr>
        <w:t>078.259.426-39</w:t>
      </w:r>
      <w:r w:rsidR="00043A44" w:rsidRPr="00043A44">
        <w:rPr>
          <w:rFonts w:ascii="Verdana" w:hAnsi="Verdana" w:cs="Arial"/>
          <w:sz w:val="21"/>
          <w:szCs w:val="21"/>
        </w:rPr>
        <w:t>, conforme quadro abaixo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tbl>
      <w:tblPr>
        <w:tblW w:w="9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47"/>
        <w:gridCol w:w="850"/>
        <w:gridCol w:w="940"/>
        <w:gridCol w:w="1076"/>
        <w:gridCol w:w="961"/>
        <w:gridCol w:w="1064"/>
        <w:gridCol w:w="920"/>
        <w:gridCol w:w="1111"/>
      </w:tblGrid>
      <w:tr w:rsidR="009126E8" w:rsidRPr="009126E8" w:rsidTr="00457207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6922" w:type="dxa"/>
            <w:gridSpan w:val="7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2866" w:type="dxa"/>
            <w:gridSpan w:val="3"/>
            <w:shd w:val="clear" w:color="000000" w:fill="BFBFBF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2025" w:type="dxa"/>
            <w:gridSpan w:val="2"/>
            <w:shd w:val="clear" w:color="000000" w:fill="BFBFBF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31" w:type="dxa"/>
            <w:gridSpan w:val="2"/>
            <w:shd w:val="clear" w:color="000000" w:fill="BFBFBF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9126E8" w:rsidRPr="009126E8" w:rsidTr="00457207">
        <w:trPr>
          <w:trHeight w:val="182"/>
        </w:trPr>
        <w:tc>
          <w:tcPr>
            <w:tcW w:w="580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76" w:type="dxa"/>
            <w:vMerge w:val="restart"/>
            <w:shd w:val="clear" w:color="000000" w:fill="D9D9D9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61" w:type="dxa"/>
            <w:vMerge w:val="restart"/>
            <w:shd w:val="clear" w:color="000000" w:fill="D9D9D9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20" w:type="dxa"/>
            <w:vMerge w:val="restart"/>
            <w:shd w:val="clear" w:color="000000" w:fill="D9D9D9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11" w:type="dxa"/>
            <w:vMerge w:val="restart"/>
            <w:shd w:val="clear" w:color="000000" w:fill="D9D9D9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457207" w:rsidRPr="009126E8" w:rsidTr="00457207">
        <w:trPr>
          <w:trHeight w:val="182"/>
        </w:trPr>
        <w:tc>
          <w:tcPr>
            <w:tcW w:w="580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b/>
                <w:bCs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:rsidR="009126E8" w:rsidRPr="009126E8" w:rsidRDefault="009126E8" w:rsidP="009126E8">
            <w:pPr>
              <w:suppressAutoHyphens w:val="0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Agenda permanente, 1 dia por página, capa revestida em couro sintético, na cor preta, costurada do respectivo ano vigente.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11,95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4.182,50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4.182,50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20.912,50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Agenda telefônica 139x210 mm 39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763,00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763,00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3.815,00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ALMOFADA P/ CARIMBO N° 04, TINTA AZUL SEM ÓLEO, COM TAMPA DE METAL OU PLÁSTICO, DIMENSÕES 16X9,5X1,2 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719,20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719,20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3.596,00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Apontador de lápis, manual, portátil, 1 entrada, em material plástico rígido, com depósito. Embalagem com dados de identificação do produto e marca do fabricante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0,54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54,00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270,00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Bobina papel branco 1 via 76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1,49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149,00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745,00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Caderno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brochurao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60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fls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200 x 275 mm com 3 grampos com pauta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2,19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6.570,00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6.570,00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32.850,00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CAPA DURA GRANDE COSTURADO C/ 48 FLS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3,39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5.085,00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5.085,00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25.425,00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Caderno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brochurao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60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fls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200 x 275 mm com 3 grampos sem pauta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4.975,00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4.975,00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24.875,00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CAPA DURA GRANDE COSTURADO C/ 96 FLS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7.980,00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7.980,00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39.900,00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CAPA DURA PEQUENO COSTURADO C/ 48 FLS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2,15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1.505,00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1.505,00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7.525,00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CAPA DURA PEQUENO COSTURADO C/ 96 FLS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2,60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2.080,00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2.080,00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10.400,00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COM ESPIRAL EM ARAME ¼ COM 48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1,10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2.750,00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DESENHO 48 FLS. S/ SEDA - CARTOGRAFIA GRANDE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2,40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6.000,00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COM ESPIRAL EM ARAME 1X1 COM 96 FOLHAS UNIVERSITÁRIO COM CAPA FLEXÍVEL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3,59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4.308,00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4.308,00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21.540,00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CADERNO COM ESPIRAL EM ARAME ¼ COM 96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2,10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2.100,00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10.500,00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CAIXA DE ARQUIVO PARA DOCUMENTO, tipo morto, em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polionda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, tamanho ofício, na cor azul, com dimensões 350X250X135, espessura 3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2,35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2.350,00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2.350,00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11.750,00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CALCULADORA DE MESA - MÉDIA - 12 DÍGITOS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9,50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1.900,00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9.500,00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Caneta esferográfica na cor azul, escrita fina 0,7mm, corpo rígido translúcido e sextavado, carga removível, sem acionamento,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medindo Aproximadamente 14 cm, ponta de latão e esfera de tungstênio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0,46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2.300,00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32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Caneta marca texto, ponta indeformável chanfrada para linhas finas/grossas, composição tinta fluorescente a base de água. Nome do fabricante no corpo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CANETA PARA RETROPROJETOR AZUL, para uso em filmes e transparências, com ponta de poliéster com diâmetro de 1,0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2,20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CANETA PARA RETROPROJETOR PRETA, para uso em filmes e transparências, com ponta de poliéster com diâmetro de 1,0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2,20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330,00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1.650,00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CARBONO DUPLA FACE AZUL - CX C/ 100 FOLHAS. PAPEL, carbono, dupla face A4, para escrita manual, na cor azul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dimensao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215 x 315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Embalagem: caixa com 100 folhas, com dados de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identificacao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do produto e marca do fabricante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31,99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1.599,50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1.599,50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7.997,50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CARBONO FACE ÚNICA AZUL CX. C/ 100 FOLHAS. PAPEL, carbono, para escrita manual, na cor azul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dimensao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215 x 315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Embalagem: caixa com 100 folhas, com dados de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identificacao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do produto e marca do fabricante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1.000,00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CARTOLINA LAMINADA 70X50 (CORES DIVERSAS)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1,40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CLIPE P/ PAPEL 3/0, EM AÇO C/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TRATAMENTO SUPERFICIAL NIQUELADO, CAIXA 500GR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43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CLIPE P/ PAPEL 4/0, EM AÇO C/ TRATAMENTO SUPERFICIAL NIQUELADO, CAIXA 500 GR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CLIPE P/ PAPEL 5/0, EM AÇO C/ TRATAMENTO SUPERFICIAL NIQUELADO, CAIXA 500 GR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CLIPE P/ PAPEL 8/0, EM AÇO C/ TRATAMENTO SUPERFICIAL NIQUELADO, CAIXA 500 GR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COLA PARA BISCUIT – 1 KG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18,00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2.700,00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2.700,00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13.500,00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COLA PARA ISOPOR GRANDE - 40 GR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1,60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2.800,00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COLA QUENTE REFIL FINO 30 CM - 5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0,29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725,00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COLA QUENTE REFIL GROSSO - 30 CM - 10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0,46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230,00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COLCHETE N° 15, C/ CABEÇA REDONDA, REFORÇADO, AÇO METÁLICO BAIXO CARBONO, TRATAMENTO SUPERFICIAL LATONADO, CAIXA C/ 72X1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11,12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444,80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444,80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2.224,00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CORRETIVO LÍQUIDO - FRASCO C/ VOLUME DE 18 ML: branco, homogêneo, aplicável a pincel com tampa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rosqueável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,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diluível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em água. Deverá cobrir na primeira demão a escrita sem permitir a leitura do erro após a secagem e, aceitar nova escrita por cima. O conjunto composto pelo frasco, tampa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rosqueável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e pincel, deverá apresentar resistência adequada, não podendo apresentar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deformações que prejudiquem o seu uso. O produto deverá vir acondicionado em frascos devendo constar: marca / fabricante, volume, data de fabricação e prazo de validade ou apenas data final de validade, bem como demais informações exigidas na legislação em vigor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350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0,69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241,50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241,50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1.207,50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65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Diário de Classe Ensino Fundamental Nível 1 - nº 113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5,50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2.750,00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2.750,00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13.750,00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DUREX GRANDE - 12MMX50M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0,77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231,00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231,00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1.155,00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ENVELOPES AMARELO 26,5X 36,5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0,38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1.900,00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9.500,00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ENVELOPE PARDO 370x470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0,59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4.130,00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4.130,00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20.650,00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Envelope plástico transparente A4 sem furo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pct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c 100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unid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2.248,50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2.248,50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11.242,50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ENVELOPES CRAFITES 26,5X 36,5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0,15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1.050,00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1.050,00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5.250,00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ESTILETE TIPO ESTREITO, COM LÂMINA, ESPESSURA 9 MM, COM CORPO EM PLÁSTICO INDUSTRIAL, DIMENSÕES APROXIMADAS, 13 CM X 9 MM.GRANDE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0,72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432,00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432,00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2.160,00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ETIQUETA PARA IMPRESSORA A LASER, tamanho 25,4x66,7mm contendo30 na folha, caixas com 100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2.490,00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ETIQUETA PARA IMPRESSORA A LASER, tamanho 33,9x101,6mm, contendo 14 na folha, caixas com 100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2.490,00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ETIQUETA PARA IMPRESSORA A LASER, tamanho 50,8x101,6mm contendo 10 na folha, caixas com 100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2.490,00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87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ETIQUETA PARA IMPRESSORA A LASER, tamanho 84,67x101,6mm contendo 6 na folha, caixas com 100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2.490,00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EXTENSÃO DE 5 METROS COM SELO DO INMETRO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9,30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558,00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558,00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2.790,00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FICHÁRIO ACRÍLICO 5 X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48,50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727,50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727,50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3.637,50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FITA ADESIVA DE EMPACOTAMENTO, TRANSPARENTE, rolo c/ 45 mmX45 m, em filme de polipropileno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bi-orientado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, coberto com adesivo acrílico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1.990,00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9.950,00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FITA CREPE ROLO C/ 32MM X 50 M, papel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crepado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saturado,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monoface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, coberto com adesivo a base de borracha e resinas sintéticas, multiuso, cor bege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2,70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2.025,00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FITA CREPE ROLO C/ 50MM X 50 M, papel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crepado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saturado,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monoface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, coberto com adesivo a base de borracha e resinas sintéticas, multiuso, cor bege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6,50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975,00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975,00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4.875,00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GIZ COLORIDO ESCOLAR COM 64 UNID - ATÓXICO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2,15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967,50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967,50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4.837,50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Giz para quadro escolar, antialérgico, cor branca, caixa com 64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und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. Embalagem com dados de identificação do produto, marca do fabricante e prazo de validade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1,55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620,00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620,00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3.100,00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GRAMPEADOR TIPO DE MESA para grampos 26/6 ou 26/8, para grampear até 30 folhas, com capacidade para uma barra de grampos, com mola interna de metal, base de aço, tamanho 200X90 mm, aproximadamente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15,25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3.050,00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15.250,00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108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GRAMPEADOR PISTOLA P/ MADEIRA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32,00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6.400,00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GRAMPO P/ GRAMPEADOR 23/13 - 1/2" - 13 mm, EM AÇO COBREADO EXTRA RESISTENTE A OXIDAÇÃO, PARA GRAMPEAR de 20 até 100 FOLHAS (PAPEL 75G/M²). Profissional Caixa com 5000X1, contendo 32 pentes com 157 grampos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16,60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1.162,00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1.162,00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5.810,00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GRAMPO P/ GRAMPEADOR 26/6, EM AÇO COBREADO EXTRA RESISTENTE A OXIDAÇÃO, PARA GRAMPEAR ATÉ 20 FOLHAS (PAPEL 75G/M²). Caixa com 5000X1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2.900,00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GRAMPO PARA GRAMPEADOR PISTOLA P/ MADEIRA 106/8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720,00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720,00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3.600,00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Índice AZ para fichário 5 x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11,60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5.800,00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LAMINADO DE PVC AUTO-ADESIVO, (Tipo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contact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), transparente, protegido no verso por papel siliconado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1,80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720,00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720,00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3.600,00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LÁPIS PRETO N° 2, CORPO DE MADEIRA HEXAGONAL OU CILÍNDRICO, NA COR PRETA, MINA ULTRA RESISTENTE EM GRAFITE COLADO E NÃO PRENSADO HB, DE 1ª QUALIDADE E FABRICAÇÃO NACIONAL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0,16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6.400,00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LIVRO PROTOCOLO para Correspondência com 100 folhas, capa dura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7.500,00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APERGAMINHADO (CARTOLINA DUPLA) - 96X66 CM - 120 GR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PAPEL BRANCO ALCALINO 60 KG - PCT C/ 50 FOLHAS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A4 - 180/M2 - 210X297MM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5,80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1.160,00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5.800,00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132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CAMURÇA 0,50X0,60 CM DIVERSAS CORES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0,55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275,00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275,00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1.375,00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CARTÃO 0,50X0,70 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0,49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294,00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1.470,00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CARTOLINA COLOR, material em celulose vegetal, gramatura 200 g/m², formato 700X650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COLORSETE. DIVERSAS CORES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0,49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294,00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1.470,00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CREDEX AP 60 C/ 50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3.560,00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3.560,00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17.800,00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CREPOM 0,48X2,00 MT DIVERSAS CORES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0,57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285,00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285,00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1.425,00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SEDA 0,60X0,70 CM - DIVERSAS CORES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0,12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FANTASIA 0,50X0,70 CM DIVERSAS CORES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0,22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132,00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660,00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KRAFT NATURAL (PARDO), para embrulho, 660X960 mm, 80 g/m²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0,45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540,00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2.700,00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LAMINADO 0,60X0,70 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0,58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SULFITE BRANCO TIPO A5, com 500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9,80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11.760,00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11.760,00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58.800,00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PAPEL SULFITE COLORIDO TIPO A4, com 75 g/m@, tamanho 210 X 297 mm, 100 folhas. Papel Produzido com celulose 100% proveniente de eucaliptos plantados isenta de cloro elementar (ECF - Elemental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Chlorine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Free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) e demais tecnologias de proteção do meio ambiente, normas da ABNT - NBR e legislação pertinente.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4,38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5.256,00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5.256,00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26.280,00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PAPEL XEROGRÁFICO, tipo A4, na cor branco, com 75 g/m@, tamanho 210 X 297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Papel Produzido com celulose 100% proveniente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 xml:space="preserve">de eucaliptos plantados isenta de cloro elementar (ECF - Elemental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Chlorine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Free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) e demais tecnologias de proteção do meio ambiente, normas da ABNT - NBR e legislação pertinente.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13,85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69.250,00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69.250,00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346.250,00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150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PAPEL XEROGRÁFICO, tipo Ofício 2, na cor branco, com 75 g/m@, tamanho 216 X 330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Papel Produzido com celulose 100% proveniente de eucaliptos plantados isenta de cloro elementar (ECF - Elemental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Chlorine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Free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) e demais tecnologias de proteção do meios ambiente, normas da ABNT - NBR e legislação pertinente. BRANCO C/500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18,69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65.415,00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65.415,00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327.075,00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ABA ELÁSTICO PLÁSTICA OFÍCIO 40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2,25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1.350,00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1.350,00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6.750,00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CATÁLOGO C/ 10 PLÁSTICOS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4,05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810,00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810,00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4.050,00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CATÁLOGO C/ 50 PLÁSTICOS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7,80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7.800,00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CATÁLOGO C/ 100 PLÁSTICOS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2.598,00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2.598,00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12.990,00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PASTA CLASSIFICADORA PLASTIFICADA COM CLEAN LISO PLÁSTICO - Ideal para classificar documentos. Produzida em cartolina 480g/m. Com lombo regulável. Grampo plástico estendido. Capacidade para até 500 folhas sulfite 75g/m.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Pct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com 10 unidades. Dimensões aproximadas 345 x 235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37,99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75.980,00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75.980,00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379.900,00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PASTA CLASSIFICADORA COM GRAMPO METÁLICO - Ideal para classificar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 xml:space="preserve">documentos. Produzida em cartolina 480g/m. Com lombo regulável. Grampo metálico estendido e resistente. Capacidade para até 500 folhas sulfite 75g/m.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Pct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com 10 unidades. Dimensões aproximadas 345 x 235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2.500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44,99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112.475,00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112.475,00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562.375,00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158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DE AZ LOMBO ESTREITO, ofício, 33X27,5X6,5 cm, em papelão extra resistente, com reforço nos cantos, capa revestida com tratamento impermeabilizante contra a absorção de umidade e mofo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7,49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2.247,00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2.247,00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11.235,00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PASTA EM PAPEL PLASTIFICADO, COM ELÁSTICO, 240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gr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/m², DIVERSAS CORES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1,20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360,00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1.800,00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POLIONDA, 315x226x55 MM, espessura 3 cm, transparente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1.592,00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1.592,00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7.960,00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SANFONADA C/ 30 REPARTIÇÕES - A4 - DE POLIPROPILENO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33,90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6.780,00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6.780,00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33.900,00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167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SANFONADA C/ 30 REPARTIÇÕES - OFÍCIO 2 - DE POLIPROPILENO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39,90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3.990,00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19.950,00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SUSPENSA P/ ARQUIVO MORTO. MARMORIZADA PLASTIFICADA COM VARETA DE METAL COM PONTEIRA PLÁSTICA, CARTÃO MARMORIZADO PLASTIFICADO, VISORES DE ACETATO, GRAMPOS PLASTICOS PRENDEDOR DE PAPEL, medindo 240X360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1,59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2.385,00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2.385,00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11.925,00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PERFURADOR DE GRANDE CAPACIDADE para papel,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semi-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industrial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, em ferro fundido, base de aço, pinos em aço, com capacidade para perfurar até 100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129,90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6.495,00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6.495,00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32.475,00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170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PERFURADOR GRANDE para papel,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semi-industrial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, em ferro fundido, base de aço medindo 165X115 mm, aproximadamente, pinos em aço, com capacidade para perfurar até 50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34,00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3.400,00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PERFURADOR PEQUENO para papel, base de aço medindo 100X80 mm, aproximadamente, pinos em aço, com capacidade para perfurar até 20 folhas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799,00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799,00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3.995,00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PILHA AA RECARREGÁVEL COM 02 UNID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16,80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5.040,00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5.040,00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25.200,00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180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PISTOLA P/ COLA QUENTE GROSSA GRANDE CERTIFICADA PELO INMETRO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1.780,00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1.780,00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8.900,00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182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Plástico transparente para encapar caderno 02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mts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largura 45 cm espessura 0 04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285,00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285,00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1.425,00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185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PORTA DUREX GRANDE - 20X9X9CM PLÁSTICO RESISTENTE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6.495,00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6.495,00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32.475,00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186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PORTA DUREX PEQUENO - 130X51X54MM - PLÁSTICO RESISTENTE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8,00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192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PRANCHETA DE MADEIRA COM PRENDEDOR METÁLICO - A4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2,79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279,00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279,00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1.395,00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193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PRANCHETA Ofício em Duratex ou Eucatex com prendedor metálico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2,99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299,00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299,00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1.495,00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215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TESOURINHA ESCOLAR. EMBALAGEM INDIVIDUAL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1,29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774,00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774,00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3.870,00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218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TINTA PARA PINTURA EM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TECIDO, APLICAÇÃO A PINCEL, ESPONJA OU CARIMBO, A BASE DE RESINA ACRILICA, SOLÚVEL EM ÁGUA.CORES MISCÍVEIS, PRONTAS PARA USO (37 ML). CORES: AMARELO PELE, VERMELHO VIVO, BRANCO, VERDE ABACATE, AMARELO OURO, LILÁS, AZUL BEBÊ, AZUL ARINHO, ROSA CHÁ, LARANJA, MARFIM, VERDE FOLHA, PRETO, VERDE GLACIAL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1,89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472,50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472,50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2.362,50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222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T.N.T (TECIDO NÃO TECIDO) COMPOSIÇÃO:100%POLIPROPILENO, ROLO COM 50 METROS NAS CORES: VERMELHO, BRANCO, ROSA, PRETO, BRANCO, AZUL, AMARELO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34,50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34.500,00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34.500,00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172.500,00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223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PAPEL SEDA 48X60 PACOTES C/100 UNIDADES NAS CORES: VERMELHO, PRETO, BRANCO, ROSA E AZUL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12,30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1.230,00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6.150,00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224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Perfuradora p/encadernação até 20fls p/espiral simples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476,00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476,00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476,00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2.380,00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225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Espiral plástico preto fabricado em PVC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semi-rígido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. Diâmetro de 33mm para encadernar 250 folhas (24kg/75gr) com cumprimento de 33cm. Fio de 2,3mm. Utilizado para encadernação de diversos fins, tais como apostilas, listas de preços, relatórios, cadernos, agendas, livros didáticos e etc. </w:t>
            </w:r>
            <w:proofErr w:type="spellStart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Pcte</w:t>
            </w:r>
            <w:proofErr w:type="spellEnd"/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 com 25 unidades.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16,00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640,00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3.200,00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229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 xml:space="preserve">Capa para encadernação, tamanho A4, pp </w:t>
            </w: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0,30, cores variadas, embalagem com 100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6.000,00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lastRenderedPageBreak/>
              <w:t>234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Pasta expansível a lombada se ajusta ao volume das páginas fechamento Presilha Espessura 2cm fechada expande até 10 cm, Composição/Material 95% papel reciclado e presilha com 80% de polipropileno, conteúdo da Embalagem 1 pasta, Dimensões aproximadas do produto (cm) 30x23x2cm.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7.450,00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7.450,00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37.250,00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238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Carimbo de madeira: medindo acima de 12cm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14,00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1.400,00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239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Carimbo 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auto-entintado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: tipo automático, formato retangular, características adicionais retrátil com mola. Similar 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Trodat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 (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printy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 - 45x20mm). Almofada substituível, material de impressão em 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fotopolímero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. Com visor para identificação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19,90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995,00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995,00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4.975,00</w:t>
            </w:r>
          </w:p>
        </w:tc>
      </w:tr>
      <w:tr w:rsidR="00457207" w:rsidRPr="009126E8" w:rsidTr="00457207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both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Carimbo 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auto-entintado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: tipo automático, formato redondo, características adicionais retrátil com 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mola.Similar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. 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Trodat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 (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printy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 xml:space="preserve"> 30mm) Almofada substituível, material de impressão em </w:t>
            </w:r>
            <w:proofErr w:type="spellStart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fotopolímero</w:t>
            </w:r>
            <w:proofErr w:type="spellEnd"/>
            <w:r w:rsidRPr="009126E8">
              <w:rPr>
                <w:rFonts w:ascii="Verdana" w:hAnsi="Verdana" w:cs="MS Sans Serif"/>
                <w:kern w:val="0"/>
                <w:sz w:val="15"/>
                <w:szCs w:val="15"/>
                <w:lang w:eastAsia="pt-BR"/>
              </w:rPr>
              <w:t>. Com visor para identificação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9126E8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24,00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480,00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480,00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9126E8" w:rsidRPr="009126E8" w:rsidRDefault="009126E8" w:rsidP="00457207">
            <w:pPr>
              <w:suppressAutoHyphens w:val="0"/>
              <w:jc w:val="center"/>
              <w:rPr>
                <w:rFonts w:ascii="Verdana" w:hAnsi="Verdana"/>
                <w:kern w:val="0"/>
                <w:sz w:val="15"/>
                <w:szCs w:val="15"/>
                <w:lang w:eastAsia="pt-BR"/>
              </w:rPr>
            </w:pPr>
            <w:r w:rsidRPr="009126E8">
              <w:rPr>
                <w:rFonts w:ascii="Verdana" w:hAnsi="Verdana"/>
                <w:kern w:val="0"/>
                <w:sz w:val="15"/>
                <w:szCs w:val="15"/>
                <w:lang w:eastAsia="pt-BR"/>
              </w:rPr>
              <w:t>2.400,00</w:t>
            </w:r>
          </w:p>
        </w:tc>
      </w:tr>
    </w:tbl>
    <w:p w:rsidR="003214FB" w:rsidRPr="00043A44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OBJETO: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Os objetos do fornecimento são os produtos constantes</w:t>
      </w:r>
      <w:r w:rsidR="00F41720" w:rsidRPr="00043A44">
        <w:rPr>
          <w:rFonts w:ascii="Verdana" w:hAnsi="Verdana"/>
          <w:color w:val="000000" w:themeColor="text1"/>
          <w:sz w:val="21"/>
          <w:szCs w:val="21"/>
        </w:rPr>
        <w:t xml:space="preserve"> do quadro</w:t>
      </w:r>
      <w:r w:rsidRPr="00043A44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A478F6" w:rsidRPr="00043A44">
        <w:rPr>
          <w:rFonts w:ascii="Verdana" w:hAnsi="Verdana"/>
          <w:color w:val="000000" w:themeColor="text1"/>
          <w:sz w:val="21"/>
          <w:szCs w:val="21"/>
        </w:rPr>
        <w:t>acima</w:t>
      </w:r>
      <w:r w:rsidRPr="00043A44">
        <w:rPr>
          <w:rFonts w:ascii="Verdana" w:hAnsi="Verdana"/>
          <w:color w:val="000000" w:themeColor="text1"/>
          <w:sz w:val="21"/>
          <w:szCs w:val="21"/>
        </w:rPr>
        <w:t>, em que são discriminados, a apresentação de cada produto, o consumo estimado e o prazo para entrega.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VALIDADE DO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03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UTILIZAÇÃO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04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PREÇO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que integra o presente instrumento de compromisso.</w:t>
      </w: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pelas empresas detentoras da presente Ata, as quais também a integram.</w:t>
      </w: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05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LOCAL E PRAZO DE ENTREGA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06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PAGAMENTO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em até 30 (trinta) dias após recebimento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definitivo pela unidade requisitante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 do objeto,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mediante apresentação da Nota Fiscal.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r w:rsidRPr="00043A44">
        <w:rPr>
          <w:rFonts w:ascii="Verdana" w:hAnsi="Verdana"/>
          <w:color w:val="000000" w:themeColor="text1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I= (TX/100)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lastRenderedPageBreak/>
        <w:t xml:space="preserve">EM = I x N x VP, onde: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 = Índice de atualização financeira;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TX = Percentual da taxa de juros de mora anual;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EM = Encargos moratórios;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N = Número de dias entre a data prevista para o pagamento e a do efetivo pagamento; </w:t>
      </w:r>
    </w:p>
    <w:p w:rsidR="003214FB" w:rsidRPr="00043A44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VP = Valor da parcela em atraso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07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08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PENALIDADES</w:t>
      </w:r>
    </w:p>
    <w:p w:rsidR="003214FB" w:rsidRPr="00043A44" w:rsidRDefault="003214FB" w:rsidP="006D7146">
      <w:pPr>
        <w:tabs>
          <w:tab w:val="left" w:pos="1245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á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– Em caso de inexecução parcial ou total das condições fixadas no contrato, erros ou atrasos no cumprimento do contrato e quaisquer outras irregularidades, 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>Administração poderá, garantida a prévia defesa, aplicar ao contratado as seguintes sanções: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A. Advertência;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B. Multa de 0,3% (três décimos por cento) por dia, até o 10</w:t>
      </w:r>
      <w:r w:rsidRPr="00043A44">
        <w:rPr>
          <w:rFonts w:ascii="Verdana" w:hAnsi="Verdana" w:cs="Arial"/>
          <w:color w:val="000000" w:themeColor="text1"/>
          <w:sz w:val="21"/>
          <w:szCs w:val="21"/>
          <w:u w:val="single"/>
          <w:vertAlign w:val="superscript"/>
        </w:rPr>
        <w:t>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(décimo) dia de atraso, da entrega do produto, sobre o valor da parcela, por ocorrência;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D. Multa de 20% (vinte por cento) sobre o valor do contrato, nos casos: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a) inobservância do nível de qualidade dos fornecimentos;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b) transferência total ou parcial do contrato a terceiros;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c) subcontratação no todo ou em parte do objeto sem prévia autorização formal da Contratante;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d) descumprimento de cláusula contratual.</w:t>
      </w: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–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043A44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color w:val="000000" w:themeColor="text1"/>
          <w:sz w:val="21"/>
          <w:szCs w:val="21"/>
          <w:highlight w:val="yellow"/>
        </w:rPr>
      </w:pPr>
    </w:p>
    <w:p w:rsidR="003214FB" w:rsidRPr="00043A44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09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DOS REAJUSTAMENTOS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10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CANCELAMENTO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Pela Administração, quando: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detentora não cumprir as obrigações constantes desta Ata de Registro de Preços;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B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C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E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F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G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Pelas detentoras, quando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7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AUTORIZAÇÃO PARA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13- DAS DISPOSIÇÕES FINAIS</w:t>
      </w:r>
    </w:p>
    <w:p w:rsidR="003214FB" w:rsidRPr="00043A44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14.1. Integram esta Ata, 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e as propostas das empresas classificadas no certame supranumerado.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Papagaios, </w:t>
      </w:r>
      <w:r w:rsidR="0000737E" w:rsidRPr="00043A44">
        <w:rPr>
          <w:rFonts w:ascii="Verdana" w:hAnsi="Verdana" w:cs="Arial"/>
          <w:color w:val="000000" w:themeColor="text1"/>
          <w:sz w:val="21"/>
          <w:szCs w:val="21"/>
        </w:rPr>
        <w:t>13 de setembro de 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53106C" w:rsidRPr="00043A44" w:rsidRDefault="0053106C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>Município de Papagaios/MG</w:t>
      </w: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043A44">
        <w:rPr>
          <w:rFonts w:ascii="Verdana" w:hAnsi="Verdana" w:cs="Arial"/>
          <w:sz w:val="21"/>
          <w:szCs w:val="21"/>
        </w:rPr>
        <w:t>Filgueiras</w:t>
      </w:r>
      <w:proofErr w:type="spellEnd"/>
    </w:p>
    <w:p w:rsid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7701C3" w:rsidRPr="00043A44" w:rsidRDefault="007701C3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9E218B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Central dos Presentes e Papelaria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</w:p>
    <w:p w:rsidR="0000737E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CNPJ/MF </w:t>
      </w:r>
      <w:r w:rsidR="009E218B">
        <w:rPr>
          <w:rFonts w:ascii="Verdana" w:hAnsi="Verdana" w:cs="Arial"/>
          <w:sz w:val="21"/>
          <w:szCs w:val="21"/>
        </w:rPr>
        <w:t>29.646.553/0001-06</w:t>
      </w:r>
    </w:p>
    <w:sectPr w:rsidR="0000737E" w:rsidRPr="00043A44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3D" w:rsidRDefault="001E6B3D" w:rsidP="00E00126">
      <w:r>
        <w:separator/>
      </w:r>
    </w:p>
  </w:endnote>
  <w:endnote w:type="continuationSeparator" w:id="0">
    <w:p w:rsidR="001E6B3D" w:rsidRDefault="001E6B3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CE" w:rsidRPr="00320A16" w:rsidRDefault="00DC58C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3D" w:rsidRDefault="001E6B3D" w:rsidP="00E00126">
      <w:r>
        <w:separator/>
      </w:r>
    </w:p>
  </w:footnote>
  <w:footnote w:type="continuationSeparator" w:id="0">
    <w:p w:rsidR="001E6B3D" w:rsidRDefault="001E6B3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C58CE" w:rsidTr="00E33182">
      <w:trPr>
        <w:trHeight w:val="781"/>
      </w:trPr>
      <w:tc>
        <w:tcPr>
          <w:tcW w:w="2127" w:type="dxa"/>
          <w:vMerge w:val="restart"/>
          <w:vAlign w:val="center"/>
        </w:tcPr>
        <w:p w:rsidR="00DC58CE" w:rsidRDefault="00DC58C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C58CE" w:rsidRPr="000015CB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C58CE" w:rsidTr="000015CB">
      <w:trPr>
        <w:trHeight w:val="785"/>
      </w:trPr>
      <w:tc>
        <w:tcPr>
          <w:tcW w:w="2127" w:type="dxa"/>
          <w:vMerge/>
        </w:tcPr>
        <w:p w:rsidR="00DC58CE" w:rsidRDefault="00DC58CE">
          <w:pPr>
            <w:pStyle w:val="Cabealho"/>
          </w:pPr>
        </w:p>
      </w:tc>
      <w:tc>
        <w:tcPr>
          <w:tcW w:w="8930" w:type="dxa"/>
        </w:tcPr>
        <w:p w:rsidR="00DC58CE" w:rsidRPr="002936D7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C58CE" w:rsidRDefault="00DC58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737E"/>
    <w:rsid w:val="000103DB"/>
    <w:rsid w:val="0001379F"/>
    <w:rsid w:val="00016A97"/>
    <w:rsid w:val="00025604"/>
    <w:rsid w:val="00041B5C"/>
    <w:rsid w:val="00043A44"/>
    <w:rsid w:val="00045E72"/>
    <w:rsid w:val="00057E99"/>
    <w:rsid w:val="000810C5"/>
    <w:rsid w:val="00090E79"/>
    <w:rsid w:val="000974E5"/>
    <w:rsid w:val="000A7123"/>
    <w:rsid w:val="000F2A05"/>
    <w:rsid w:val="000F2E3E"/>
    <w:rsid w:val="001062A7"/>
    <w:rsid w:val="0011310E"/>
    <w:rsid w:val="001265F0"/>
    <w:rsid w:val="00130D4E"/>
    <w:rsid w:val="0013571A"/>
    <w:rsid w:val="001463D3"/>
    <w:rsid w:val="001B2493"/>
    <w:rsid w:val="001C236C"/>
    <w:rsid w:val="001D244A"/>
    <w:rsid w:val="001E21EA"/>
    <w:rsid w:val="001E6B3D"/>
    <w:rsid w:val="001F68AE"/>
    <w:rsid w:val="002431AA"/>
    <w:rsid w:val="002522DB"/>
    <w:rsid w:val="00264466"/>
    <w:rsid w:val="00267DBA"/>
    <w:rsid w:val="0027735F"/>
    <w:rsid w:val="00277514"/>
    <w:rsid w:val="00287689"/>
    <w:rsid w:val="002936D7"/>
    <w:rsid w:val="0029479C"/>
    <w:rsid w:val="00294B62"/>
    <w:rsid w:val="002B6F3C"/>
    <w:rsid w:val="002C4ADF"/>
    <w:rsid w:val="002C7E36"/>
    <w:rsid w:val="002D4C6E"/>
    <w:rsid w:val="002F68A3"/>
    <w:rsid w:val="0030551D"/>
    <w:rsid w:val="00316826"/>
    <w:rsid w:val="00320A16"/>
    <w:rsid w:val="003214FB"/>
    <w:rsid w:val="00323714"/>
    <w:rsid w:val="00334EDE"/>
    <w:rsid w:val="003731E4"/>
    <w:rsid w:val="00377475"/>
    <w:rsid w:val="00386875"/>
    <w:rsid w:val="003951DD"/>
    <w:rsid w:val="003A112B"/>
    <w:rsid w:val="003D7DC7"/>
    <w:rsid w:val="003F02A6"/>
    <w:rsid w:val="003F156D"/>
    <w:rsid w:val="003F5678"/>
    <w:rsid w:val="00402BB3"/>
    <w:rsid w:val="00407D55"/>
    <w:rsid w:val="00410E45"/>
    <w:rsid w:val="004237DE"/>
    <w:rsid w:val="004319C3"/>
    <w:rsid w:val="00455796"/>
    <w:rsid w:val="00457207"/>
    <w:rsid w:val="0046368B"/>
    <w:rsid w:val="00471363"/>
    <w:rsid w:val="00481066"/>
    <w:rsid w:val="004872E0"/>
    <w:rsid w:val="0049098C"/>
    <w:rsid w:val="004A012E"/>
    <w:rsid w:val="004B5890"/>
    <w:rsid w:val="004F6027"/>
    <w:rsid w:val="00502C34"/>
    <w:rsid w:val="00506805"/>
    <w:rsid w:val="00513AE8"/>
    <w:rsid w:val="005235F1"/>
    <w:rsid w:val="0053106C"/>
    <w:rsid w:val="005320BA"/>
    <w:rsid w:val="005409A1"/>
    <w:rsid w:val="00552959"/>
    <w:rsid w:val="00556F9A"/>
    <w:rsid w:val="0055714C"/>
    <w:rsid w:val="00562D3B"/>
    <w:rsid w:val="005639A2"/>
    <w:rsid w:val="00580C35"/>
    <w:rsid w:val="0058207B"/>
    <w:rsid w:val="00596F67"/>
    <w:rsid w:val="005A3390"/>
    <w:rsid w:val="005F6772"/>
    <w:rsid w:val="00602F25"/>
    <w:rsid w:val="006474BF"/>
    <w:rsid w:val="00647F9B"/>
    <w:rsid w:val="00650EF7"/>
    <w:rsid w:val="006553AD"/>
    <w:rsid w:val="00666121"/>
    <w:rsid w:val="006A0154"/>
    <w:rsid w:val="006A119D"/>
    <w:rsid w:val="006A4CAB"/>
    <w:rsid w:val="006B3C89"/>
    <w:rsid w:val="006D7146"/>
    <w:rsid w:val="006E0C58"/>
    <w:rsid w:val="006E1815"/>
    <w:rsid w:val="006E1F77"/>
    <w:rsid w:val="006E4F98"/>
    <w:rsid w:val="006E7555"/>
    <w:rsid w:val="006F1BF1"/>
    <w:rsid w:val="007020E9"/>
    <w:rsid w:val="00702955"/>
    <w:rsid w:val="00704C89"/>
    <w:rsid w:val="00710506"/>
    <w:rsid w:val="00722A59"/>
    <w:rsid w:val="00737405"/>
    <w:rsid w:val="00763B8F"/>
    <w:rsid w:val="007701C3"/>
    <w:rsid w:val="00790095"/>
    <w:rsid w:val="0079173B"/>
    <w:rsid w:val="007A60F7"/>
    <w:rsid w:val="007B099B"/>
    <w:rsid w:val="007B2225"/>
    <w:rsid w:val="007B53A9"/>
    <w:rsid w:val="007C52A4"/>
    <w:rsid w:val="007E1E17"/>
    <w:rsid w:val="007F586D"/>
    <w:rsid w:val="00811204"/>
    <w:rsid w:val="008118CC"/>
    <w:rsid w:val="008257EF"/>
    <w:rsid w:val="00834053"/>
    <w:rsid w:val="00854782"/>
    <w:rsid w:val="00861C73"/>
    <w:rsid w:val="00861E77"/>
    <w:rsid w:val="00866C86"/>
    <w:rsid w:val="008835B4"/>
    <w:rsid w:val="00892F8B"/>
    <w:rsid w:val="008A0074"/>
    <w:rsid w:val="008A0A66"/>
    <w:rsid w:val="008A51F1"/>
    <w:rsid w:val="008B081E"/>
    <w:rsid w:val="008B5F41"/>
    <w:rsid w:val="008D0A2B"/>
    <w:rsid w:val="008D6A4E"/>
    <w:rsid w:val="009046C0"/>
    <w:rsid w:val="009126E8"/>
    <w:rsid w:val="0092111A"/>
    <w:rsid w:val="009215FC"/>
    <w:rsid w:val="0097482B"/>
    <w:rsid w:val="009928E6"/>
    <w:rsid w:val="009A0174"/>
    <w:rsid w:val="009A279D"/>
    <w:rsid w:val="009C7035"/>
    <w:rsid w:val="009C7BE7"/>
    <w:rsid w:val="009D4EF2"/>
    <w:rsid w:val="009E218B"/>
    <w:rsid w:val="009E6215"/>
    <w:rsid w:val="00A31FFF"/>
    <w:rsid w:val="00A43F8E"/>
    <w:rsid w:val="00A478F6"/>
    <w:rsid w:val="00A50A15"/>
    <w:rsid w:val="00A706F1"/>
    <w:rsid w:val="00A71783"/>
    <w:rsid w:val="00AB3931"/>
    <w:rsid w:val="00AB4166"/>
    <w:rsid w:val="00AC6D3E"/>
    <w:rsid w:val="00B12C02"/>
    <w:rsid w:val="00B23595"/>
    <w:rsid w:val="00B334A9"/>
    <w:rsid w:val="00B45296"/>
    <w:rsid w:val="00B46B77"/>
    <w:rsid w:val="00B53D45"/>
    <w:rsid w:val="00B63A37"/>
    <w:rsid w:val="00B63D8E"/>
    <w:rsid w:val="00B7509D"/>
    <w:rsid w:val="00B82B8C"/>
    <w:rsid w:val="00BA4A16"/>
    <w:rsid w:val="00BD670B"/>
    <w:rsid w:val="00BE777A"/>
    <w:rsid w:val="00BF627B"/>
    <w:rsid w:val="00C0171C"/>
    <w:rsid w:val="00C0181F"/>
    <w:rsid w:val="00C07112"/>
    <w:rsid w:val="00C12241"/>
    <w:rsid w:val="00C20EE0"/>
    <w:rsid w:val="00C45EB7"/>
    <w:rsid w:val="00C628AF"/>
    <w:rsid w:val="00C66BBA"/>
    <w:rsid w:val="00C828B3"/>
    <w:rsid w:val="00CE260C"/>
    <w:rsid w:val="00CF64E5"/>
    <w:rsid w:val="00D23A31"/>
    <w:rsid w:val="00D24290"/>
    <w:rsid w:val="00D33AE5"/>
    <w:rsid w:val="00D520F1"/>
    <w:rsid w:val="00D559F6"/>
    <w:rsid w:val="00D61A39"/>
    <w:rsid w:val="00D63541"/>
    <w:rsid w:val="00D75DD1"/>
    <w:rsid w:val="00D91D47"/>
    <w:rsid w:val="00D9523C"/>
    <w:rsid w:val="00DA41A2"/>
    <w:rsid w:val="00DA4A47"/>
    <w:rsid w:val="00DC13CC"/>
    <w:rsid w:val="00DC3E67"/>
    <w:rsid w:val="00DC58CE"/>
    <w:rsid w:val="00DF4E95"/>
    <w:rsid w:val="00E00126"/>
    <w:rsid w:val="00E159B9"/>
    <w:rsid w:val="00E2158B"/>
    <w:rsid w:val="00E27B18"/>
    <w:rsid w:val="00E3064C"/>
    <w:rsid w:val="00E33182"/>
    <w:rsid w:val="00E353EB"/>
    <w:rsid w:val="00E366CC"/>
    <w:rsid w:val="00E512AF"/>
    <w:rsid w:val="00E672E4"/>
    <w:rsid w:val="00E945F7"/>
    <w:rsid w:val="00EA69AE"/>
    <w:rsid w:val="00EC1829"/>
    <w:rsid w:val="00EC28D8"/>
    <w:rsid w:val="00ED1A01"/>
    <w:rsid w:val="00ED4179"/>
    <w:rsid w:val="00F022F1"/>
    <w:rsid w:val="00F12A02"/>
    <w:rsid w:val="00F23356"/>
    <w:rsid w:val="00F41720"/>
    <w:rsid w:val="00F4320D"/>
    <w:rsid w:val="00F53A12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paragraph" w:customStyle="1" w:styleId="xl65">
    <w:name w:val="xl6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6">
    <w:name w:val="xl6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7">
    <w:name w:val="xl6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8">
    <w:name w:val="xl68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9">
    <w:name w:val="xl69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0">
    <w:name w:val="xl70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1">
    <w:name w:val="xl71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2">
    <w:name w:val="xl72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3">
    <w:name w:val="xl73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4">
    <w:name w:val="xl74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5">
    <w:name w:val="xl7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6">
    <w:name w:val="xl7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7">
    <w:name w:val="xl7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4485</Words>
  <Characters>24221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2019-07-09T15:59:00Z</cp:lastPrinted>
  <dcterms:created xsi:type="dcterms:W3CDTF">2019-09-23T18:51:00Z</dcterms:created>
  <dcterms:modified xsi:type="dcterms:W3CDTF">2019-09-23T19:03:00Z</dcterms:modified>
</cp:coreProperties>
</file>