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6615BB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PROCESSO LICITATÓRIO Nº </w:t>
      </w:r>
      <w:r w:rsidR="00E15E57" w:rsidRPr="006615BB">
        <w:rPr>
          <w:rFonts w:ascii="Verdana" w:hAnsi="Verdana"/>
          <w:b/>
          <w:sz w:val="21"/>
          <w:szCs w:val="21"/>
        </w:rPr>
        <w:t>090/2019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PREGÃO PRESENCIAL Nº </w:t>
      </w:r>
      <w:r w:rsidR="00E15E57" w:rsidRPr="006615BB">
        <w:rPr>
          <w:rFonts w:ascii="Verdana" w:hAnsi="Verdana"/>
          <w:b/>
          <w:sz w:val="21"/>
          <w:szCs w:val="21"/>
        </w:rPr>
        <w:t>059/2019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6615BB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ATA DE REGISTRO DE PREÇOS Nº </w:t>
      </w:r>
      <w:r w:rsidR="002E0E54" w:rsidRPr="006615BB">
        <w:rPr>
          <w:rFonts w:ascii="Verdana" w:hAnsi="Verdana"/>
          <w:sz w:val="21"/>
          <w:szCs w:val="21"/>
        </w:rPr>
        <w:t>049</w:t>
      </w:r>
      <w:r w:rsidR="009921C1" w:rsidRPr="006615BB">
        <w:rPr>
          <w:rFonts w:ascii="Verdana" w:hAnsi="Verdana"/>
          <w:sz w:val="21"/>
          <w:szCs w:val="21"/>
        </w:rPr>
        <w:t>/2019</w:t>
      </w:r>
      <w:r w:rsidRPr="006615BB">
        <w:rPr>
          <w:rFonts w:ascii="Verdana" w:hAnsi="Verdana"/>
          <w:sz w:val="21"/>
          <w:szCs w:val="21"/>
        </w:rPr>
        <w:t>.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PREGÃO Nº </w:t>
      </w:r>
      <w:r w:rsidR="00E15E57" w:rsidRPr="006615BB">
        <w:rPr>
          <w:rFonts w:ascii="Verdana" w:hAnsi="Verdana"/>
          <w:sz w:val="21"/>
          <w:szCs w:val="21"/>
        </w:rPr>
        <w:t>059/2019</w:t>
      </w:r>
      <w:r w:rsidRPr="006615BB">
        <w:rPr>
          <w:rFonts w:ascii="Verdana" w:hAnsi="Verdana"/>
          <w:sz w:val="21"/>
          <w:szCs w:val="21"/>
        </w:rPr>
        <w:t>.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PROCESSO Nº </w:t>
      </w:r>
      <w:r w:rsidR="00E15E57" w:rsidRPr="006615BB">
        <w:rPr>
          <w:rFonts w:ascii="Verdana" w:hAnsi="Verdana"/>
          <w:sz w:val="21"/>
          <w:szCs w:val="21"/>
        </w:rPr>
        <w:t>090/2019</w:t>
      </w:r>
      <w:r w:rsidRPr="006615BB">
        <w:rPr>
          <w:rFonts w:ascii="Verdana" w:hAnsi="Verdana"/>
          <w:sz w:val="21"/>
          <w:szCs w:val="21"/>
        </w:rPr>
        <w:t>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>VALIDADE: 12 meses.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 xml:space="preserve">Aos </w:t>
      </w:r>
      <w:r w:rsidR="00F35C10" w:rsidRPr="006615BB">
        <w:rPr>
          <w:rFonts w:ascii="Verdana" w:hAnsi="Verdana" w:cs="Arial"/>
          <w:sz w:val="21"/>
          <w:szCs w:val="21"/>
        </w:rPr>
        <w:t>09 (nove) dias do mês de agosto</w:t>
      </w:r>
      <w:r w:rsidRPr="006615BB">
        <w:rPr>
          <w:rFonts w:ascii="Verdana" w:hAnsi="Verdana" w:cs="Arial"/>
          <w:sz w:val="21"/>
          <w:szCs w:val="21"/>
        </w:rPr>
        <w:t xml:space="preserve"> de </w:t>
      </w:r>
      <w:r w:rsidR="009921C1" w:rsidRPr="006615BB">
        <w:rPr>
          <w:rFonts w:ascii="Verdana" w:hAnsi="Verdana" w:cs="Arial"/>
          <w:sz w:val="21"/>
          <w:szCs w:val="21"/>
        </w:rPr>
        <w:t>2019</w:t>
      </w:r>
      <w:r w:rsidRPr="006615BB">
        <w:rPr>
          <w:rFonts w:ascii="Verdana" w:hAnsi="Verdana" w:cs="Arial"/>
          <w:sz w:val="21"/>
          <w:szCs w:val="21"/>
        </w:rPr>
        <w:t xml:space="preserve">, na sala de licitações, na sede da Prefeitura Municipal, situada na Rua </w:t>
      </w:r>
      <w:r w:rsidR="005541F2" w:rsidRPr="006615BB">
        <w:rPr>
          <w:rFonts w:ascii="Verdana" w:hAnsi="Verdana" w:cs="Arial"/>
          <w:sz w:val="21"/>
          <w:szCs w:val="21"/>
        </w:rPr>
        <w:t>Francisco Valadares da Fonseca, nº. 250, bairro Vasco Lopes, Papagaios/MG, CEP 35.669-000</w:t>
      </w:r>
      <w:r w:rsidRPr="006615BB">
        <w:rPr>
          <w:rFonts w:ascii="Verdana" w:hAnsi="Verdana" w:cs="Arial"/>
          <w:sz w:val="21"/>
          <w:szCs w:val="21"/>
        </w:rPr>
        <w:t>, o Exm</w:t>
      </w:r>
      <w:r w:rsidR="005541F2" w:rsidRPr="006615BB">
        <w:rPr>
          <w:rFonts w:ascii="Verdana" w:hAnsi="Verdana" w:cs="Arial"/>
          <w:sz w:val="21"/>
          <w:szCs w:val="21"/>
        </w:rPr>
        <w:t xml:space="preserve">o. Sr. Prefeito Municipal, Sr. Mário Reis </w:t>
      </w:r>
      <w:proofErr w:type="spellStart"/>
      <w:r w:rsidR="005541F2" w:rsidRPr="006615BB">
        <w:rPr>
          <w:rFonts w:ascii="Verdana" w:hAnsi="Verdana" w:cs="Arial"/>
          <w:sz w:val="21"/>
          <w:szCs w:val="21"/>
        </w:rPr>
        <w:t>Filgueiras</w:t>
      </w:r>
      <w:proofErr w:type="spellEnd"/>
      <w:r w:rsidRPr="006615BB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15E57" w:rsidRPr="006615BB">
        <w:rPr>
          <w:rFonts w:ascii="Verdana" w:hAnsi="Verdana" w:cs="Arial"/>
          <w:sz w:val="21"/>
          <w:szCs w:val="21"/>
        </w:rPr>
        <w:t>059/2019</w:t>
      </w:r>
      <w:r w:rsidRPr="006615BB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E15E57" w:rsidRPr="006615BB">
        <w:rPr>
          <w:rFonts w:ascii="Verdana" w:hAnsi="Verdana" w:cs="Arial"/>
          <w:sz w:val="21"/>
          <w:szCs w:val="21"/>
        </w:rPr>
        <w:t>090/2019</w:t>
      </w:r>
      <w:r w:rsidRPr="006615BB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5541F2" w:rsidRPr="006615BB">
        <w:rPr>
          <w:rFonts w:ascii="Verdana" w:hAnsi="Verdana" w:cs="Arial"/>
          <w:b/>
          <w:sz w:val="21"/>
          <w:szCs w:val="21"/>
        </w:rPr>
        <w:t>EQUIPAR MEDICO E HOSPITALAR LTDA</w:t>
      </w:r>
      <w:r w:rsidR="005541F2" w:rsidRPr="006615BB">
        <w:rPr>
          <w:rFonts w:ascii="Verdana" w:hAnsi="Verdana" w:cs="Arial"/>
          <w:sz w:val="21"/>
          <w:szCs w:val="21"/>
        </w:rPr>
        <w:t>, localizado na Rua Paracatu, nº. 1.280, bairro Bandeirantes, Juiz de Fora/MG, CEP 36.047-040, cujo CNPJ é 25.725.813/0001-70, neste ato representado por José Geraldo Chaves, inscrito no CPF/MF sob o nº. 132.910.336-04, conforme quadro abaixo</w:t>
      </w:r>
      <w:r w:rsidRPr="006615BB">
        <w:rPr>
          <w:rFonts w:ascii="Verdana" w:hAnsi="Verdana" w:cs="Arial"/>
          <w:sz w:val="21"/>
          <w:szCs w:val="21"/>
        </w:rPr>
        <w:t>:</w:t>
      </w:r>
    </w:p>
    <w:p w:rsidR="006E6714" w:rsidRPr="006615BB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387"/>
        <w:gridCol w:w="879"/>
        <w:gridCol w:w="960"/>
        <w:gridCol w:w="1220"/>
        <w:gridCol w:w="879"/>
        <w:gridCol w:w="1100"/>
        <w:gridCol w:w="879"/>
        <w:gridCol w:w="1180"/>
      </w:tblGrid>
      <w:tr w:rsidR="00573A4B" w:rsidRPr="00573A4B" w:rsidTr="00573A4B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7097" w:type="dxa"/>
            <w:gridSpan w:val="7"/>
            <w:shd w:val="clear" w:color="auto" w:fill="auto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59" w:type="dxa"/>
            <w:gridSpan w:val="3"/>
            <w:shd w:val="clear" w:color="000000" w:fill="BFBFB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1979" w:type="dxa"/>
            <w:gridSpan w:val="2"/>
            <w:shd w:val="clear" w:color="000000" w:fill="BFBFB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2059" w:type="dxa"/>
            <w:gridSpan w:val="2"/>
            <w:shd w:val="clear" w:color="000000" w:fill="BFBFB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573A4B" w:rsidRPr="00573A4B" w:rsidTr="00573A4B">
        <w:trPr>
          <w:trHeight w:val="182"/>
        </w:trPr>
        <w:tc>
          <w:tcPr>
            <w:tcW w:w="598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220" w:type="dxa"/>
            <w:vMerge w:val="restart"/>
            <w:shd w:val="clear" w:color="000000" w:fill="D9D9D9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Valor Total 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</w:tr>
      <w:tr w:rsidR="00573A4B" w:rsidRPr="00573A4B" w:rsidTr="00573A4B">
        <w:trPr>
          <w:trHeight w:val="182"/>
        </w:trPr>
        <w:tc>
          <w:tcPr>
            <w:tcW w:w="598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carvão</w:t>
            </w:r>
            <w:proofErr w:type="gram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ativado pó - pote de 500 gramas 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69,00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828,00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828,00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4.140,00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573A4B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ceftriaxona</w:t>
            </w:r>
            <w:proofErr w:type="spellEnd"/>
            <w:proofErr w:type="gramEnd"/>
            <w:r w:rsidRPr="00573A4B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sódica pó para solução injetável 1 g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6.000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9,95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59.700,00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6000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59.700,00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298.500,00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epitezan</w:t>
            </w:r>
            <w:proofErr w:type="spellEnd"/>
            <w:proofErr w:type="gram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pomada 3 g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13,30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665,00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665,00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3.325,00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573A4B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haloperidol</w:t>
            </w:r>
            <w:proofErr w:type="spellEnd"/>
            <w:proofErr w:type="gramEnd"/>
            <w:r w:rsidRPr="00573A4B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5 mg/ml - ampola 1 ml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1,39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695,00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695,00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3.475,00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soro</w:t>
            </w:r>
            <w:proofErr w:type="gram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fisiológico 0,9% frasco de  250 ml uso intravenoso sistema fechado 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3,10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93.000,00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93.000,00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465.000,00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soro</w:t>
            </w:r>
            <w:proofErr w:type="gram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fisiológico 0,9% frasco de 500 ml uso intravenoso sistema fechado 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3,69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73.800,00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73.800,00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369.000,00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soro</w:t>
            </w:r>
            <w:proofErr w:type="gram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glicofisiologico</w:t>
            </w:r>
            <w:proofErr w:type="spell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250 ml  uso intravenoso sistema fechado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3,24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16.200,00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16.200,00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81.000,00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soro</w:t>
            </w:r>
            <w:proofErr w:type="gram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glicofisiologico</w:t>
            </w:r>
            <w:proofErr w:type="spell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</w:t>
            </w: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500 ml  uso intravenoso sistema fechado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5.000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3,89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19.450,00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19.450,00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97.250,00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13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soro</w:t>
            </w:r>
            <w:proofErr w:type="gram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glicosado 5% frasco de 250 ml  uso intravenoso sistema fechado 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3,15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15.750,00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15.750,00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78.750,00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soro</w:t>
            </w:r>
            <w:proofErr w:type="gramEnd"/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glicosado 5% frasco de 500 ml  uso intravenoso sistema fechado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3,89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19.450,00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19.450,00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97.250,00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DICLOFENACO DE POTÁSSIO RESINATO 15 MG/ML - FRASCO COM 10 ML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4,85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1.455,00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1.455,00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7.275,00</w:t>
            </w:r>
          </w:p>
        </w:tc>
      </w:tr>
      <w:tr w:rsidR="00573A4B" w:rsidRPr="00573A4B" w:rsidTr="00573A4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SULFADIAZINA DE PRATA PASTA 1 % 50 GR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5,63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16.890,00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16.890,00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73A4B" w:rsidRPr="00573A4B" w:rsidRDefault="00573A4B" w:rsidP="00573A4B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573A4B">
              <w:rPr>
                <w:rFonts w:ascii="Verdana" w:hAnsi="Verdana" w:cs="Times New Roman"/>
                <w:color w:val="000000"/>
                <w:sz w:val="15"/>
                <w:szCs w:val="15"/>
              </w:rPr>
              <w:t>84.450,00</w:t>
            </w:r>
          </w:p>
        </w:tc>
      </w:tr>
    </w:tbl>
    <w:p w:rsidR="006E6714" w:rsidRPr="006615BB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01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6615BB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6615BB">
        <w:rPr>
          <w:rFonts w:ascii="Verdana" w:hAnsi="Verdana"/>
          <w:sz w:val="21"/>
          <w:szCs w:val="21"/>
        </w:rPr>
        <w:t>do quadro acima</w:t>
      </w:r>
      <w:r w:rsidRPr="006615BB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6615BB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02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 </w:t>
      </w:r>
      <w:r w:rsidRPr="006615BB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III </w:t>
      </w:r>
      <w:r w:rsidRPr="006615BB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03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04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15E57" w:rsidRPr="006615BB">
        <w:rPr>
          <w:rFonts w:ascii="Verdana" w:hAnsi="Verdana"/>
          <w:sz w:val="21"/>
          <w:szCs w:val="21"/>
        </w:rPr>
        <w:t>059/2019</w:t>
      </w:r>
      <w:r w:rsidRPr="006615BB">
        <w:rPr>
          <w:rFonts w:ascii="Verdana" w:hAnsi="Verdana"/>
          <w:sz w:val="21"/>
          <w:szCs w:val="21"/>
        </w:rPr>
        <w:t>.</w:t>
      </w:r>
    </w:p>
    <w:p w:rsidR="006E6714" w:rsidRPr="006615BB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 </w:t>
      </w:r>
      <w:r w:rsidRPr="006615BB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15E57" w:rsidRPr="006615BB">
        <w:rPr>
          <w:rFonts w:ascii="Verdana" w:hAnsi="Verdana"/>
          <w:sz w:val="21"/>
          <w:szCs w:val="21"/>
        </w:rPr>
        <w:t>059/2019</w:t>
      </w:r>
      <w:r w:rsidRPr="006615BB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6615BB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III </w:t>
      </w:r>
      <w:r w:rsidRPr="006615BB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E15E57" w:rsidRPr="006615BB">
        <w:rPr>
          <w:rFonts w:ascii="Verdana" w:hAnsi="Verdana"/>
          <w:sz w:val="21"/>
          <w:szCs w:val="21"/>
        </w:rPr>
        <w:t>059/2019</w:t>
      </w:r>
      <w:r w:rsidRPr="006615BB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6615BB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6615BB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05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 </w:t>
      </w:r>
      <w:r w:rsidRPr="006615BB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06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6615BB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6615BB">
        <w:rPr>
          <w:rFonts w:ascii="Verdana" w:hAnsi="Verdana"/>
          <w:sz w:val="21"/>
          <w:szCs w:val="21"/>
        </w:rPr>
        <w:t>definitivo pela unidade requisitante</w:t>
      </w:r>
      <w:r w:rsidRPr="006615BB">
        <w:rPr>
          <w:rFonts w:ascii="Verdana" w:hAnsi="Verdana"/>
          <w:bCs/>
          <w:sz w:val="21"/>
          <w:szCs w:val="21"/>
        </w:rPr>
        <w:t xml:space="preserve"> do objeto, </w:t>
      </w:r>
      <w:r w:rsidRPr="006615BB">
        <w:rPr>
          <w:rFonts w:ascii="Verdana" w:hAnsi="Verdana"/>
          <w:sz w:val="21"/>
          <w:szCs w:val="21"/>
        </w:rPr>
        <w:t>mediante apresentação da Nota Fiscal.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6615BB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6615BB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6615BB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6615BB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6615BB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6615BB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6615BB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6615BB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6615BB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6615BB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6615BB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6615BB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6615BB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6615BB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6615BB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6615BB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I= (TX/100) 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lastRenderedPageBreak/>
        <w:t xml:space="preserve">TX = Percentual da taxa de juros de mora anual; 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07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 </w:t>
      </w:r>
      <w:r w:rsidRPr="006615BB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6615BB">
        <w:rPr>
          <w:rFonts w:ascii="Verdana" w:hAnsi="Verdana"/>
          <w:sz w:val="21"/>
          <w:szCs w:val="21"/>
        </w:rPr>
        <w:t xml:space="preserve"> úteis</w:t>
      </w:r>
      <w:r w:rsidRPr="006615BB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III </w:t>
      </w:r>
      <w:r w:rsidRPr="006615BB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IV </w:t>
      </w:r>
      <w:r w:rsidRPr="006615BB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V </w:t>
      </w:r>
      <w:r w:rsidRPr="006615BB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VI </w:t>
      </w:r>
      <w:r w:rsidRPr="006615BB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VII </w:t>
      </w:r>
      <w:r w:rsidRPr="006615BB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6615BB">
        <w:rPr>
          <w:rFonts w:ascii="Verdana" w:hAnsi="Verdana"/>
          <w:sz w:val="21"/>
          <w:szCs w:val="21"/>
        </w:rPr>
        <w:t>IX</w:t>
      </w:r>
      <w:r w:rsidR="009F5698" w:rsidRPr="006615BB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08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6615BB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6615BB">
        <w:rPr>
          <w:rFonts w:ascii="Verdana" w:hAnsi="Verdana"/>
          <w:sz w:val="21"/>
          <w:szCs w:val="21"/>
        </w:rPr>
        <w:t>á</w:t>
      </w:r>
      <w:proofErr w:type="spellEnd"/>
      <w:r w:rsidRPr="006615BB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6615BB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6615BB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6615BB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>A) Advertência;</w:t>
      </w:r>
    </w:p>
    <w:p w:rsidR="001369A1" w:rsidRPr="006615BB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6615BB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6615BB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6615BB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6615BB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6615BB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6615BB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6615BB">
        <w:rPr>
          <w:rFonts w:ascii="Verdana" w:eastAsia="Symbol" w:hAnsi="Verdana" w:cs="Arial"/>
          <w:sz w:val="21"/>
          <w:szCs w:val="21"/>
        </w:rPr>
        <w:t>do Município</w:t>
      </w:r>
      <w:r w:rsidRPr="006615BB">
        <w:rPr>
          <w:rFonts w:ascii="Verdana" w:hAnsi="Verdana" w:cs="Arial"/>
          <w:sz w:val="21"/>
          <w:szCs w:val="21"/>
        </w:rPr>
        <w:t>;</w:t>
      </w: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6615BB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6615BB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III - </w:t>
      </w:r>
      <w:r w:rsidRPr="006615BB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6615BB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6615BB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6615BB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6615BB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6615BB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6615BB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1" w:name="__DdeLink__4400_2835009959"/>
      <w:r w:rsidRPr="006615BB">
        <w:rPr>
          <w:rFonts w:ascii="Verdana" w:hAnsi="Verdana"/>
          <w:sz w:val="21"/>
          <w:szCs w:val="21"/>
        </w:rPr>
        <w:t>Interpretativa</w:t>
      </w:r>
      <w:bookmarkEnd w:id="1"/>
      <w:r w:rsidRPr="006615BB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6615BB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6615BB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6615BB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09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15E57" w:rsidRPr="006615BB">
        <w:rPr>
          <w:rFonts w:ascii="Verdana" w:hAnsi="Verdana"/>
          <w:sz w:val="21"/>
          <w:szCs w:val="21"/>
        </w:rPr>
        <w:t>059/2019</w:t>
      </w:r>
      <w:r w:rsidRPr="006615BB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 </w:t>
      </w:r>
      <w:r w:rsidRPr="006615BB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10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II </w:t>
      </w:r>
      <w:r w:rsidRPr="006615BB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6615BB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11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I </w:t>
      </w:r>
      <w:r w:rsidRPr="006615BB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6615BB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6615BB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6615BB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A </w:t>
      </w:r>
      <w:r w:rsidRPr="006615BB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6615BB">
        <w:rPr>
          <w:rFonts w:ascii="Verdana" w:hAnsi="Verdana"/>
          <w:sz w:val="21"/>
          <w:szCs w:val="21"/>
        </w:rPr>
        <w:t>a</w:t>
      </w:r>
      <w:proofErr w:type="spellEnd"/>
      <w:r w:rsidRPr="006615BB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6615BB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B </w:t>
      </w:r>
      <w:r w:rsidRPr="006615BB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6615BB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C </w:t>
      </w:r>
      <w:r w:rsidRPr="006615BB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6615BB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D </w:t>
      </w:r>
      <w:r w:rsidRPr="006615BB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6615BB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E </w:t>
      </w:r>
      <w:r w:rsidRPr="006615BB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6615BB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F </w:t>
      </w:r>
      <w:r w:rsidRPr="006615BB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6615BB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G </w:t>
      </w:r>
      <w:r w:rsidRPr="006615BB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*no caso de ser ignorado, incerto ou inacessível o endereço da detentora, a comunicação será feita por publicação no órgão encarregado das publicações </w:t>
      </w:r>
      <w:r w:rsidRPr="006615BB">
        <w:rPr>
          <w:rFonts w:ascii="Verdana" w:hAnsi="Verdana"/>
          <w:sz w:val="21"/>
          <w:szCs w:val="21"/>
        </w:rPr>
        <w:lastRenderedPageBreak/>
        <w:t>oficiais do Município, considerando-se cancelado o preço registrado a partir da publicação.</w:t>
      </w:r>
    </w:p>
    <w:p w:rsidR="006E6714" w:rsidRPr="006615BB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6615BB">
        <w:rPr>
          <w:rFonts w:ascii="Verdana" w:hAnsi="Verdana" w:cs="Arial"/>
          <w:b/>
          <w:sz w:val="21"/>
          <w:szCs w:val="21"/>
        </w:rPr>
        <w:t>Pelas detentoras, quando</w:t>
      </w:r>
      <w:r w:rsidRPr="006615BB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6615BB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A </w:t>
      </w:r>
      <w:r w:rsidRPr="006615BB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6615BB">
        <w:rPr>
          <w:rFonts w:ascii="Verdana" w:hAnsi="Verdana"/>
          <w:sz w:val="21"/>
          <w:szCs w:val="21"/>
        </w:rPr>
        <w:t>a</w:t>
      </w:r>
      <w:proofErr w:type="spellEnd"/>
      <w:r w:rsidRPr="006615BB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6615BB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6615BB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 xml:space="preserve">12 </w:t>
      </w:r>
      <w:r w:rsidRPr="006615BB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>I</w:t>
      </w:r>
      <w:r w:rsidRPr="006615BB">
        <w:rPr>
          <w:rFonts w:ascii="Verdana" w:hAnsi="Verdana"/>
          <w:b/>
          <w:sz w:val="21"/>
          <w:szCs w:val="21"/>
        </w:rPr>
        <w:t xml:space="preserve"> </w:t>
      </w:r>
      <w:r w:rsidRPr="006615BB">
        <w:rPr>
          <w:rFonts w:ascii="Verdana" w:hAnsi="Verdana"/>
          <w:b/>
          <w:sz w:val="21"/>
          <w:szCs w:val="21"/>
        </w:rPr>
        <w:noBreakHyphen/>
      </w:r>
      <w:r w:rsidRPr="006615BB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615BB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6615BB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bookmarkStart w:id="2" w:name="_GoBack"/>
      <w:bookmarkEnd w:id="2"/>
      <w:r w:rsidRPr="006615BB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E15E57" w:rsidRPr="006615BB">
        <w:rPr>
          <w:rFonts w:ascii="Verdana" w:hAnsi="Verdana" w:cs="Arial"/>
          <w:sz w:val="21"/>
          <w:szCs w:val="21"/>
        </w:rPr>
        <w:t>059/2019</w:t>
      </w:r>
      <w:r w:rsidRPr="006615BB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6615BB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6615BB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6615BB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615BB">
        <w:rPr>
          <w:rFonts w:ascii="Verdana" w:hAnsi="Verdana"/>
          <w:sz w:val="21"/>
          <w:szCs w:val="21"/>
        </w:rPr>
        <w:t xml:space="preserve">Papagaios, </w:t>
      </w:r>
      <w:r w:rsidR="00411A06" w:rsidRPr="006615BB">
        <w:rPr>
          <w:rFonts w:ascii="Verdana" w:hAnsi="Verdana"/>
          <w:sz w:val="21"/>
          <w:szCs w:val="21"/>
        </w:rPr>
        <w:t>09 de agosto de 2019</w:t>
      </w:r>
      <w:r w:rsidR="00D70F44" w:rsidRPr="006615BB">
        <w:rPr>
          <w:rFonts w:ascii="Verdana" w:hAnsi="Verdana"/>
          <w:sz w:val="21"/>
          <w:szCs w:val="21"/>
        </w:rPr>
        <w:t>.</w:t>
      </w:r>
    </w:p>
    <w:p w:rsidR="006E6714" w:rsidRPr="006615BB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6615BB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6615BB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6615BB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6615BB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6615BB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6615BB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6615BB" w:rsidRDefault="00234E83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 xml:space="preserve">Equipar Médico e Hospitalar </w:t>
      </w:r>
      <w:proofErr w:type="spellStart"/>
      <w:r w:rsidRPr="006615BB">
        <w:rPr>
          <w:rFonts w:ascii="Verdana" w:hAnsi="Verdana" w:cs="Arial"/>
          <w:sz w:val="21"/>
          <w:szCs w:val="21"/>
        </w:rPr>
        <w:t>Ltda</w:t>
      </w:r>
      <w:proofErr w:type="spellEnd"/>
    </w:p>
    <w:p w:rsidR="006E6714" w:rsidRPr="006615BB" w:rsidRDefault="006615BB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6615BB">
        <w:rPr>
          <w:rFonts w:ascii="Verdana" w:hAnsi="Verdana" w:cs="Arial"/>
          <w:sz w:val="21"/>
          <w:szCs w:val="21"/>
        </w:rPr>
        <w:t>CNPJ/MF 25.725.813/0001-70</w:t>
      </w:r>
    </w:p>
    <w:sectPr w:rsidR="006E6714" w:rsidRPr="006615BB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C4" w:rsidRDefault="009C60C4">
      <w:r>
        <w:separator/>
      </w:r>
    </w:p>
  </w:endnote>
  <w:endnote w:type="continuationSeparator" w:id="0">
    <w:p w:rsidR="009C60C4" w:rsidRDefault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C8" w:rsidRDefault="00FE33C8" w:rsidP="00411A06">
    <w:pPr>
      <w:pStyle w:val="Rodap"/>
      <w:ind w:left="-142"/>
      <w:jc w:val="center"/>
      <w:rPr>
        <w:sz w:val="24"/>
      </w:rPr>
    </w:pPr>
    <w:r>
      <w:t>AV. FRANCISCO VALADARES DA FONSECA, 250</w:t>
    </w:r>
    <w:r w:rsidR="00411A06">
      <w:t xml:space="preserve"> </w:t>
    </w:r>
    <w:r>
      <w:t xml:space="preserve">– </w:t>
    </w:r>
    <w:r w:rsidR="00411A06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C4" w:rsidRDefault="009C60C4">
      <w:r>
        <w:separator/>
      </w:r>
    </w:p>
  </w:footnote>
  <w:footnote w:type="continuationSeparator" w:id="0">
    <w:p w:rsidR="009C60C4" w:rsidRDefault="009C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FE33C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E33C8" w:rsidRDefault="00FE33C8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E33C8" w:rsidRDefault="00FE33C8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FE33C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33C8" w:rsidRDefault="00FE33C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33C8" w:rsidRDefault="00FE33C8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FE33C8" w:rsidRDefault="00FE33C8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828FC"/>
    <w:rsid w:val="00116B3D"/>
    <w:rsid w:val="00125056"/>
    <w:rsid w:val="001369A1"/>
    <w:rsid w:val="00183CE2"/>
    <w:rsid w:val="00183DE2"/>
    <w:rsid w:val="001F7F03"/>
    <w:rsid w:val="00234E83"/>
    <w:rsid w:val="00237F98"/>
    <w:rsid w:val="002A3520"/>
    <w:rsid w:val="002E0E54"/>
    <w:rsid w:val="00303269"/>
    <w:rsid w:val="003778D9"/>
    <w:rsid w:val="003866D5"/>
    <w:rsid w:val="003A1C28"/>
    <w:rsid w:val="003C34B1"/>
    <w:rsid w:val="00411A06"/>
    <w:rsid w:val="004E1A9E"/>
    <w:rsid w:val="004E565F"/>
    <w:rsid w:val="004E5CF9"/>
    <w:rsid w:val="00533ED4"/>
    <w:rsid w:val="005541F2"/>
    <w:rsid w:val="00573A4B"/>
    <w:rsid w:val="00577E91"/>
    <w:rsid w:val="005D1066"/>
    <w:rsid w:val="006615BB"/>
    <w:rsid w:val="00692B90"/>
    <w:rsid w:val="006D2552"/>
    <w:rsid w:val="006E6714"/>
    <w:rsid w:val="00772ACD"/>
    <w:rsid w:val="00797444"/>
    <w:rsid w:val="007E0B83"/>
    <w:rsid w:val="007F7D95"/>
    <w:rsid w:val="008069C4"/>
    <w:rsid w:val="00810C42"/>
    <w:rsid w:val="00847BDB"/>
    <w:rsid w:val="0099080E"/>
    <w:rsid w:val="009921C1"/>
    <w:rsid w:val="00997C10"/>
    <w:rsid w:val="009C60C4"/>
    <w:rsid w:val="009F5698"/>
    <w:rsid w:val="00A21200"/>
    <w:rsid w:val="00B15F5E"/>
    <w:rsid w:val="00D70F44"/>
    <w:rsid w:val="00DA2C3F"/>
    <w:rsid w:val="00DB38D6"/>
    <w:rsid w:val="00DD04CA"/>
    <w:rsid w:val="00DE2353"/>
    <w:rsid w:val="00E05B72"/>
    <w:rsid w:val="00E15E57"/>
    <w:rsid w:val="00E50FAD"/>
    <w:rsid w:val="00E556CA"/>
    <w:rsid w:val="00EA2ED0"/>
    <w:rsid w:val="00F2331D"/>
    <w:rsid w:val="00F35C10"/>
    <w:rsid w:val="00F52FCA"/>
    <w:rsid w:val="00F6410D"/>
    <w:rsid w:val="00FB31B9"/>
    <w:rsid w:val="00FB755C"/>
    <w:rsid w:val="00FC62DB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2376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10</cp:revision>
  <cp:lastPrinted>2018-03-21T16:09:00Z</cp:lastPrinted>
  <dcterms:created xsi:type="dcterms:W3CDTF">2019-08-12T16:35:00Z</dcterms:created>
  <dcterms:modified xsi:type="dcterms:W3CDTF">2019-08-12T16:47:00Z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