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7F4144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7F4144">
        <w:rPr>
          <w:rFonts w:ascii="Verdana" w:hAnsi="Verdana"/>
          <w:b/>
          <w:sz w:val="21"/>
          <w:szCs w:val="21"/>
        </w:rPr>
        <w:t xml:space="preserve">PROCESSO LICITATÓRIO Nº </w:t>
      </w:r>
      <w:r w:rsidR="00AE22B3" w:rsidRPr="007F4144">
        <w:rPr>
          <w:rFonts w:ascii="Verdana" w:hAnsi="Verdana"/>
          <w:b/>
          <w:sz w:val="21"/>
          <w:szCs w:val="21"/>
        </w:rPr>
        <w:t>058/2019</w:t>
      </w:r>
    </w:p>
    <w:p w:rsidR="003214FB" w:rsidRPr="007F4144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B2245A" w:rsidRPr="007F4144">
        <w:rPr>
          <w:rFonts w:ascii="Verdana" w:hAnsi="Verdana" w:cs="Arial"/>
          <w:b/>
          <w:sz w:val="21"/>
          <w:szCs w:val="21"/>
        </w:rPr>
        <w:t>037/2019</w:t>
      </w:r>
    </w:p>
    <w:p w:rsidR="003214FB" w:rsidRPr="007F4144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7F4144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ATA DE REGISTRO DE PREÇOS Nº </w:t>
      </w:r>
      <w:r w:rsidR="00AB7702" w:rsidRPr="007F4144">
        <w:rPr>
          <w:rFonts w:ascii="Verdana" w:hAnsi="Verdana" w:cs="Arial"/>
          <w:sz w:val="21"/>
          <w:szCs w:val="21"/>
        </w:rPr>
        <w:t>030</w:t>
      </w:r>
      <w:r w:rsidR="00506805" w:rsidRPr="007F4144">
        <w:rPr>
          <w:rFonts w:ascii="Verdana" w:hAnsi="Verdana" w:cs="Arial"/>
          <w:sz w:val="21"/>
          <w:szCs w:val="21"/>
        </w:rPr>
        <w:t>/2019</w:t>
      </w:r>
      <w:r w:rsidRPr="007F4144">
        <w:rPr>
          <w:rFonts w:ascii="Verdana" w:hAnsi="Verdana" w:cs="Arial"/>
          <w:sz w:val="21"/>
          <w:szCs w:val="21"/>
        </w:rPr>
        <w:t>.</w:t>
      </w:r>
    </w:p>
    <w:p w:rsidR="003214FB" w:rsidRPr="007F4144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PREGÃO Nº </w:t>
      </w:r>
      <w:r w:rsidR="00AE22B3" w:rsidRPr="007F4144">
        <w:rPr>
          <w:rFonts w:ascii="Verdana" w:hAnsi="Verdana" w:cs="Arial"/>
          <w:sz w:val="21"/>
          <w:szCs w:val="21"/>
        </w:rPr>
        <w:t>058/2019</w:t>
      </w:r>
      <w:r w:rsidRPr="007F4144">
        <w:rPr>
          <w:rFonts w:ascii="Verdana" w:hAnsi="Verdana" w:cs="Arial"/>
          <w:sz w:val="21"/>
          <w:szCs w:val="21"/>
        </w:rPr>
        <w:t>.</w:t>
      </w:r>
    </w:p>
    <w:p w:rsidR="003214FB" w:rsidRPr="007F4144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PROCESSO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>.</w:t>
      </w:r>
    </w:p>
    <w:p w:rsidR="003214FB" w:rsidRPr="007F4144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VALIDADE: 12 meses.</w:t>
      </w:r>
    </w:p>
    <w:p w:rsidR="003214FB" w:rsidRPr="007F4144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Aos </w:t>
      </w:r>
      <w:r w:rsidR="005D68F2" w:rsidRPr="007F4144">
        <w:rPr>
          <w:rFonts w:ascii="Verdana" w:hAnsi="Verdana" w:cs="Arial"/>
          <w:sz w:val="21"/>
          <w:szCs w:val="21"/>
        </w:rPr>
        <w:t xml:space="preserve">10 (dez) </w:t>
      </w:r>
      <w:r w:rsidRPr="007F4144">
        <w:rPr>
          <w:rFonts w:ascii="Verdana" w:hAnsi="Verdana" w:cs="Arial"/>
          <w:sz w:val="21"/>
          <w:szCs w:val="21"/>
        </w:rPr>
        <w:t xml:space="preserve">dias do mês de </w:t>
      </w:r>
      <w:r w:rsidR="005D68F2" w:rsidRPr="007F4144">
        <w:rPr>
          <w:rFonts w:ascii="Verdana" w:hAnsi="Verdana" w:cs="Arial"/>
          <w:sz w:val="21"/>
          <w:szCs w:val="21"/>
        </w:rPr>
        <w:t>junho</w:t>
      </w:r>
      <w:r w:rsidRPr="007F4144">
        <w:rPr>
          <w:rFonts w:ascii="Verdana" w:hAnsi="Verdana" w:cs="Arial"/>
          <w:sz w:val="21"/>
          <w:szCs w:val="21"/>
        </w:rPr>
        <w:t xml:space="preserve"> de </w:t>
      </w:r>
      <w:r w:rsidR="00506805" w:rsidRPr="007F4144">
        <w:rPr>
          <w:rFonts w:ascii="Verdana" w:hAnsi="Verdana" w:cs="Arial"/>
          <w:sz w:val="21"/>
          <w:szCs w:val="21"/>
        </w:rPr>
        <w:t>2019</w:t>
      </w:r>
      <w:r w:rsidRPr="007F4144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D68F2" w:rsidRPr="007F4144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7F4144">
        <w:rPr>
          <w:rFonts w:ascii="Verdana" w:hAnsi="Verdana" w:cs="Arial"/>
          <w:sz w:val="21"/>
          <w:szCs w:val="21"/>
        </w:rPr>
        <w:t>, o Exm</w:t>
      </w:r>
      <w:r w:rsidR="00A1104C" w:rsidRPr="007F4144">
        <w:rPr>
          <w:rFonts w:ascii="Verdana" w:hAnsi="Verdana" w:cs="Arial"/>
          <w:sz w:val="21"/>
          <w:szCs w:val="21"/>
        </w:rPr>
        <w:t xml:space="preserve">o. Sr. Prefeito Municipal, Sr. Mário Reis </w:t>
      </w:r>
      <w:proofErr w:type="spellStart"/>
      <w:r w:rsidR="00A1104C" w:rsidRPr="007F4144">
        <w:rPr>
          <w:rFonts w:ascii="Verdana" w:hAnsi="Verdana" w:cs="Arial"/>
          <w:sz w:val="21"/>
          <w:szCs w:val="21"/>
        </w:rPr>
        <w:t>Filgueiras</w:t>
      </w:r>
      <w:proofErr w:type="spellEnd"/>
      <w:r w:rsidR="00A1104C" w:rsidRPr="007F4144">
        <w:rPr>
          <w:rFonts w:ascii="Verdana" w:hAnsi="Verdana" w:cs="Arial"/>
          <w:sz w:val="21"/>
          <w:szCs w:val="21"/>
        </w:rPr>
        <w:t>,</w:t>
      </w:r>
      <w:r w:rsidRPr="007F4144">
        <w:rPr>
          <w:rFonts w:ascii="Verdana" w:hAnsi="Verdana" w:cs="Arial"/>
          <w:sz w:val="21"/>
          <w:szCs w:val="21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E22B3" w:rsidRPr="007F4144">
        <w:rPr>
          <w:rFonts w:ascii="Verdana" w:hAnsi="Verdana" w:cs="Arial"/>
          <w:sz w:val="21"/>
          <w:szCs w:val="21"/>
        </w:rPr>
        <w:t>058/2019</w:t>
      </w:r>
      <w:r w:rsidRPr="007F4144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7F4144" w:rsidRPr="007F4144">
        <w:rPr>
          <w:rFonts w:ascii="Verdana" w:hAnsi="Verdana" w:cs="Arial"/>
          <w:b/>
          <w:sz w:val="21"/>
          <w:szCs w:val="21"/>
        </w:rPr>
        <w:t>TREZE LICITAÇÕES E COMÉRCIO LTDA</w:t>
      </w:r>
      <w:r w:rsidR="007F4144" w:rsidRPr="007F4144">
        <w:rPr>
          <w:rFonts w:ascii="Verdana" w:hAnsi="Verdana" w:cs="Arial"/>
          <w:sz w:val="21"/>
          <w:szCs w:val="21"/>
        </w:rPr>
        <w:t xml:space="preserve">, com sede na Rua Antônio Mendes, nº. 81, Centro, CEP 35.695-000, cujo CNPJ é 29.126.669/0001-06, neste ato representado por </w:t>
      </w:r>
      <w:proofErr w:type="spellStart"/>
      <w:r w:rsidR="007F4144">
        <w:rPr>
          <w:rFonts w:ascii="Verdana" w:hAnsi="Verdana" w:cs="Arial"/>
          <w:sz w:val="21"/>
          <w:szCs w:val="21"/>
        </w:rPr>
        <w:t>Edigar</w:t>
      </w:r>
      <w:proofErr w:type="spellEnd"/>
      <w:r w:rsidR="007F4144">
        <w:rPr>
          <w:rFonts w:ascii="Verdana" w:hAnsi="Verdana" w:cs="Arial"/>
          <w:sz w:val="21"/>
          <w:szCs w:val="21"/>
        </w:rPr>
        <w:t xml:space="preserve"> Henrique da Fonseca</w:t>
      </w:r>
      <w:r w:rsidR="007F4144" w:rsidRPr="007F4144">
        <w:rPr>
          <w:rFonts w:ascii="Verdana" w:hAnsi="Verdana" w:cs="Arial"/>
          <w:sz w:val="21"/>
          <w:szCs w:val="21"/>
        </w:rPr>
        <w:t xml:space="preserve">, inscrito no CPF/MF sob o nº. </w:t>
      </w:r>
      <w:r w:rsidR="007F4144">
        <w:rPr>
          <w:rFonts w:ascii="Verdana" w:hAnsi="Verdana" w:cs="Arial"/>
          <w:sz w:val="21"/>
          <w:szCs w:val="21"/>
        </w:rPr>
        <w:t>463.459.146-49</w:t>
      </w:r>
      <w:r w:rsidR="007F4144" w:rsidRPr="007F4144">
        <w:rPr>
          <w:rFonts w:ascii="Verdana" w:hAnsi="Verdana" w:cs="Arial"/>
          <w:sz w:val="21"/>
          <w:szCs w:val="21"/>
        </w:rPr>
        <w:t>, conforme quadro abaixo:</w:t>
      </w:r>
    </w:p>
    <w:p w:rsidR="003214FB" w:rsidRPr="007F4144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8"/>
        <w:gridCol w:w="885"/>
        <w:gridCol w:w="940"/>
        <w:gridCol w:w="1120"/>
        <w:gridCol w:w="916"/>
        <w:gridCol w:w="1100"/>
        <w:gridCol w:w="885"/>
        <w:gridCol w:w="1180"/>
      </w:tblGrid>
      <w:tr w:rsidR="00482CD5" w:rsidRPr="00482CD5" w:rsidTr="00081AF4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482CD5" w:rsidRPr="00482CD5" w:rsidTr="00081AF4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45" w:type="dxa"/>
            <w:gridSpan w:val="3"/>
            <w:shd w:val="clear" w:color="000000" w:fill="BFBFBF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16" w:type="dxa"/>
            <w:gridSpan w:val="2"/>
            <w:shd w:val="clear" w:color="000000" w:fill="BFBFBF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65" w:type="dxa"/>
            <w:gridSpan w:val="2"/>
            <w:shd w:val="clear" w:color="000000" w:fill="BFBFBF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081AF4" w:rsidRPr="00482CD5" w:rsidTr="00081AF4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482CD5" w:rsidRPr="00482CD5" w:rsidTr="00081AF4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82CD5" w:rsidRPr="00482CD5" w:rsidRDefault="00482CD5" w:rsidP="00482CD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081AF4" w:rsidRPr="00482CD5" w:rsidTr="00081AF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Tecido para pintura, composição: 100% algodão, alvejado largura: 0,70mx30 </w:t>
            </w:r>
            <w:proofErr w:type="spellStart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mtsm</w:t>
            </w:r>
            <w:proofErr w:type="spellEnd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peso 0,145 </w:t>
            </w:r>
            <w:proofErr w:type="spellStart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grml</w:t>
            </w:r>
            <w:proofErr w:type="spellEnd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, fio 8/1 singelo, cor branco alvejado, lavagem industrial, tecido de primeira linha, </w:t>
            </w:r>
            <w:proofErr w:type="spellStart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pre</w:t>
            </w:r>
            <w:proofErr w:type="spellEnd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lavado e encolhido.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13.000,00</w:t>
            </w:r>
          </w:p>
        </w:tc>
      </w:tr>
      <w:tr w:rsidR="00081AF4" w:rsidRPr="00482CD5" w:rsidTr="00081AF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Americano cru 100% algodão, tecido com 1,60 de largura. Excelente para pinturas e trabalhos artesanais em geral. Algodão cru. 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675,00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675,00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3.375,00</w:t>
            </w:r>
          </w:p>
        </w:tc>
      </w:tr>
      <w:tr w:rsidR="00081AF4" w:rsidRPr="00482CD5" w:rsidTr="00081AF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Massa para biscuit cor (natural ou crua).1KG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170,00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850,00</w:t>
            </w:r>
          </w:p>
        </w:tc>
      </w:tr>
      <w:tr w:rsidR="00081AF4" w:rsidRPr="00482CD5" w:rsidTr="00081AF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Termolina</w:t>
            </w:r>
            <w:proofErr w:type="spellEnd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leitosa 100ml-16510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4,85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145,50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145,50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727,50</w:t>
            </w:r>
          </w:p>
        </w:tc>
      </w:tr>
      <w:tr w:rsidR="00081AF4" w:rsidRPr="00482CD5" w:rsidTr="00081AF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Caixa em </w:t>
            </w:r>
            <w:proofErr w:type="gramStart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MDF  Lisas</w:t>
            </w:r>
            <w:proofErr w:type="gramEnd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15x15x5 </w:t>
            </w:r>
            <w:proofErr w:type="spellStart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Mdf</w:t>
            </w:r>
            <w:proofErr w:type="spellEnd"/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Cru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4,75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237,50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237,50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1.187,50</w:t>
            </w:r>
          </w:p>
        </w:tc>
      </w:tr>
      <w:tr w:rsidR="00081AF4" w:rsidRPr="00482CD5" w:rsidTr="00081AF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Pistola para cola quente 10w, Bivolt Com bico protetor diminuindo o risco </w:t>
            </w: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de queimaduras, bastão fino.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82CD5" w:rsidRPr="00482CD5" w:rsidRDefault="00482CD5" w:rsidP="00482CD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135,00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135,00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82CD5" w:rsidRPr="00482CD5" w:rsidRDefault="00482CD5" w:rsidP="00081AF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82CD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675,00</w:t>
            </w:r>
          </w:p>
        </w:tc>
      </w:tr>
    </w:tbl>
    <w:p w:rsidR="003214FB" w:rsidRPr="007F4144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01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7F4144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I </w:t>
      </w:r>
      <w:r w:rsidRPr="007F4144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9476F9" w:rsidRPr="007F4144">
        <w:rPr>
          <w:rFonts w:ascii="Verdana" w:hAnsi="Verdana"/>
          <w:sz w:val="21"/>
          <w:szCs w:val="21"/>
        </w:rPr>
        <w:t>do quadro acima</w:t>
      </w:r>
      <w:r w:rsidRPr="007F4144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7F4144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02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7F4144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03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7F4144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04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>.</w:t>
      </w:r>
    </w:p>
    <w:p w:rsidR="003214FB" w:rsidRPr="007F4144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7F4144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7F41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05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06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F4144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7F4144">
        <w:rPr>
          <w:rFonts w:ascii="Verdana" w:hAnsi="Verdana" w:cs="Arial"/>
          <w:sz w:val="21"/>
          <w:szCs w:val="21"/>
        </w:rPr>
        <w:t>definitivo pela unidade requisitante</w:t>
      </w:r>
      <w:r w:rsidRPr="007F4144">
        <w:rPr>
          <w:rFonts w:ascii="Verdana" w:hAnsi="Verdana" w:cs="Arial"/>
          <w:bCs/>
          <w:sz w:val="21"/>
          <w:szCs w:val="21"/>
        </w:rPr>
        <w:t xml:space="preserve"> do objeto, </w:t>
      </w:r>
      <w:r w:rsidRPr="007F4144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7F4144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</w:t>
      </w:r>
      <w:r w:rsidRPr="007F4144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I= (TX/100) 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7F4144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7F4144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7F4144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07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7F4144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IV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V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VI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VII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08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7F4144">
        <w:rPr>
          <w:rFonts w:ascii="Verdana" w:hAnsi="Verdana" w:cs="Arial"/>
          <w:sz w:val="21"/>
          <w:szCs w:val="21"/>
        </w:rPr>
        <w:t>á</w:t>
      </w:r>
      <w:proofErr w:type="spellEnd"/>
      <w:r w:rsidRPr="007F4144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A. Advertência;</w:t>
      </w:r>
    </w:p>
    <w:p w:rsidR="003214FB" w:rsidRPr="007F41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7F4144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7F4144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7F41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7F4144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III – </w:t>
      </w:r>
      <w:r w:rsidRPr="007F4144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lastRenderedPageBreak/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7F4144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7F4144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09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10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7F4144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11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I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7F41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A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7F4144">
        <w:rPr>
          <w:rFonts w:ascii="Verdana" w:hAnsi="Verdana" w:cs="Arial"/>
          <w:sz w:val="21"/>
          <w:szCs w:val="21"/>
        </w:rPr>
        <w:t>a</w:t>
      </w:r>
      <w:proofErr w:type="spellEnd"/>
      <w:r w:rsidRPr="007F4144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B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C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D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7F4144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E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F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7F4144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7F4144">
        <w:rPr>
          <w:rFonts w:ascii="Verdana" w:hAnsi="Verdana"/>
          <w:sz w:val="21"/>
          <w:szCs w:val="21"/>
        </w:rPr>
        <w:t xml:space="preserve">G </w:t>
      </w:r>
      <w:r w:rsidRPr="007F4144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7F41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>Pelas detentoras, quando</w:t>
      </w:r>
      <w:r w:rsidRPr="007F4144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7F41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A </w:t>
      </w:r>
      <w:r w:rsidRPr="007F4144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7F4144">
        <w:rPr>
          <w:rFonts w:ascii="Verdana" w:hAnsi="Verdana" w:cs="Arial"/>
          <w:sz w:val="21"/>
          <w:szCs w:val="21"/>
        </w:rPr>
        <w:t>a</w:t>
      </w:r>
      <w:proofErr w:type="spellEnd"/>
      <w:r w:rsidRPr="007F4144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7F41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7F41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 xml:space="preserve">12 </w:t>
      </w:r>
      <w:r w:rsidRPr="007F4144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7F4144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I</w:t>
      </w:r>
      <w:r w:rsidRPr="007F4144">
        <w:rPr>
          <w:rFonts w:ascii="Verdana" w:hAnsi="Verdana" w:cs="Arial"/>
          <w:b/>
          <w:sz w:val="21"/>
          <w:szCs w:val="21"/>
        </w:rPr>
        <w:t xml:space="preserve"> </w:t>
      </w:r>
      <w:r w:rsidRPr="007F4144">
        <w:rPr>
          <w:rFonts w:ascii="Verdana" w:hAnsi="Verdana" w:cs="Arial"/>
          <w:b/>
          <w:sz w:val="21"/>
          <w:szCs w:val="21"/>
        </w:rPr>
        <w:noBreakHyphen/>
      </w:r>
      <w:r w:rsidRPr="007F4144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7F4144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7F4144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7F4144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B2245A" w:rsidRPr="007F4144">
        <w:rPr>
          <w:rFonts w:ascii="Verdana" w:hAnsi="Verdana" w:cs="Arial"/>
          <w:sz w:val="21"/>
          <w:szCs w:val="21"/>
        </w:rPr>
        <w:t>037/2019</w:t>
      </w:r>
      <w:r w:rsidRPr="007F4144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7F4144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7F4144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7F4144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1B4B38" w:rsidRPr="007F4144" w:rsidRDefault="001B4B38" w:rsidP="001B4B38">
      <w:pPr>
        <w:jc w:val="both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Papagaios, </w:t>
      </w:r>
      <w:r w:rsidRPr="007F4144">
        <w:rPr>
          <w:rFonts w:ascii="Verdana" w:hAnsi="Verdana" w:cs="Arial"/>
          <w:sz w:val="21"/>
          <w:szCs w:val="21"/>
        </w:rPr>
        <w:t>10</w:t>
      </w:r>
      <w:r w:rsidRPr="007F4144">
        <w:rPr>
          <w:rFonts w:ascii="Verdana" w:hAnsi="Verdana" w:cs="Arial"/>
          <w:sz w:val="21"/>
          <w:szCs w:val="21"/>
        </w:rPr>
        <w:t xml:space="preserve"> de junho de 2019.</w:t>
      </w:r>
    </w:p>
    <w:p w:rsidR="001B4B38" w:rsidRPr="007F4144" w:rsidRDefault="001B4B38" w:rsidP="001B4B38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B4B38" w:rsidRPr="007F4144" w:rsidRDefault="001B4B38" w:rsidP="001B4B38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B4B38" w:rsidRPr="007F4144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Município de Papagaios/MG</w:t>
      </w:r>
    </w:p>
    <w:p w:rsidR="001B4B38" w:rsidRPr="007F4144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7F4144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B4B38" w:rsidRPr="007F4144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B4B38" w:rsidRPr="007F4144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7F4144" w:rsidRPr="007F4144" w:rsidRDefault="007F4144" w:rsidP="007F41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 xml:space="preserve">Treze Licitações e Comércio </w:t>
      </w:r>
      <w:proofErr w:type="spellStart"/>
      <w:r w:rsidRPr="007F4144">
        <w:rPr>
          <w:rFonts w:ascii="Verdana" w:hAnsi="Verdana" w:cs="Arial"/>
          <w:sz w:val="21"/>
          <w:szCs w:val="21"/>
        </w:rPr>
        <w:t>Ltda</w:t>
      </w:r>
      <w:proofErr w:type="spellEnd"/>
    </w:p>
    <w:p w:rsidR="003214FB" w:rsidRPr="007F4144" w:rsidRDefault="007F4144" w:rsidP="007F41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7F4144">
        <w:rPr>
          <w:rFonts w:ascii="Verdana" w:hAnsi="Verdana" w:cs="Arial"/>
          <w:sz w:val="21"/>
          <w:szCs w:val="21"/>
        </w:rPr>
        <w:t>CNPJ/MF 29.126.669/0001-06</w:t>
      </w:r>
      <w:bookmarkStart w:id="0" w:name="_GoBack"/>
      <w:bookmarkEnd w:id="0"/>
    </w:p>
    <w:sectPr w:rsidR="003214FB" w:rsidRPr="007F4144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D2" w:rsidRDefault="00E23FD2" w:rsidP="00E00126">
      <w:r>
        <w:separator/>
      </w:r>
    </w:p>
  </w:endnote>
  <w:endnote w:type="continuationSeparator" w:id="0">
    <w:p w:rsidR="00E23FD2" w:rsidRDefault="00E23FD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 xml:space="preserve">AV. FRANCISCO VALADARES DA FONSECA, 250 – </w:t>
    </w:r>
    <w:r w:rsidR="00A03FC8">
      <w:rPr>
        <w:sz w:val="20"/>
        <w:szCs w:val="20"/>
      </w:rPr>
      <w:t>VASCO LOPES</w:t>
    </w:r>
    <w:r w:rsidRPr="00320A16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D2" w:rsidRDefault="00E23FD2" w:rsidP="00E00126">
      <w:r>
        <w:separator/>
      </w:r>
    </w:p>
  </w:footnote>
  <w:footnote w:type="continuationSeparator" w:id="0">
    <w:p w:rsidR="00E23FD2" w:rsidRDefault="00E23FD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61C"/>
    <w:multiLevelType w:val="hybridMultilevel"/>
    <w:tmpl w:val="C48A6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81AF4"/>
    <w:rsid w:val="00090E79"/>
    <w:rsid w:val="000974E5"/>
    <w:rsid w:val="000A7123"/>
    <w:rsid w:val="000F2E3E"/>
    <w:rsid w:val="001062A7"/>
    <w:rsid w:val="0011310E"/>
    <w:rsid w:val="001463D3"/>
    <w:rsid w:val="00194F4D"/>
    <w:rsid w:val="001B2493"/>
    <w:rsid w:val="001B4B38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B5B87"/>
    <w:rsid w:val="002C7E36"/>
    <w:rsid w:val="002F68A3"/>
    <w:rsid w:val="0030551D"/>
    <w:rsid w:val="003208CA"/>
    <w:rsid w:val="00320A16"/>
    <w:rsid w:val="003214FB"/>
    <w:rsid w:val="00323714"/>
    <w:rsid w:val="00386875"/>
    <w:rsid w:val="003951DD"/>
    <w:rsid w:val="003C7DC7"/>
    <w:rsid w:val="003D7DC7"/>
    <w:rsid w:val="003F02A6"/>
    <w:rsid w:val="003F5678"/>
    <w:rsid w:val="00402BB3"/>
    <w:rsid w:val="00407D55"/>
    <w:rsid w:val="00410E45"/>
    <w:rsid w:val="004237DE"/>
    <w:rsid w:val="00455796"/>
    <w:rsid w:val="0046368B"/>
    <w:rsid w:val="00482CD5"/>
    <w:rsid w:val="004872E0"/>
    <w:rsid w:val="004A012E"/>
    <w:rsid w:val="004B5890"/>
    <w:rsid w:val="004F6027"/>
    <w:rsid w:val="00506805"/>
    <w:rsid w:val="00513AE8"/>
    <w:rsid w:val="005235F1"/>
    <w:rsid w:val="005320BA"/>
    <w:rsid w:val="005409A1"/>
    <w:rsid w:val="00556F9A"/>
    <w:rsid w:val="005639A2"/>
    <w:rsid w:val="00580C35"/>
    <w:rsid w:val="00596F67"/>
    <w:rsid w:val="005D68F2"/>
    <w:rsid w:val="00647F9B"/>
    <w:rsid w:val="00650EF7"/>
    <w:rsid w:val="006A4CAB"/>
    <w:rsid w:val="006B3C89"/>
    <w:rsid w:val="006B7EA5"/>
    <w:rsid w:val="006D7146"/>
    <w:rsid w:val="006E0C58"/>
    <w:rsid w:val="006E1F77"/>
    <w:rsid w:val="006E4F98"/>
    <w:rsid w:val="006E7555"/>
    <w:rsid w:val="007020E9"/>
    <w:rsid w:val="00710506"/>
    <w:rsid w:val="00722A59"/>
    <w:rsid w:val="00737405"/>
    <w:rsid w:val="00776CF6"/>
    <w:rsid w:val="00790095"/>
    <w:rsid w:val="0079173B"/>
    <w:rsid w:val="007A60F7"/>
    <w:rsid w:val="007B099B"/>
    <w:rsid w:val="007B2225"/>
    <w:rsid w:val="007E1E17"/>
    <w:rsid w:val="007F4144"/>
    <w:rsid w:val="007F586D"/>
    <w:rsid w:val="008118CC"/>
    <w:rsid w:val="008257EF"/>
    <w:rsid w:val="00834053"/>
    <w:rsid w:val="00861C73"/>
    <w:rsid w:val="00866C86"/>
    <w:rsid w:val="0087037A"/>
    <w:rsid w:val="008835B4"/>
    <w:rsid w:val="00892F8B"/>
    <w:rsid w:val="00893F2F"/>
    <w:rsid w:val="008A0A66"/>
    <w:rsid w:val="008A51F1"/>
    <w:rsid w:val="008B5F41"/>
    <w:rsid w:val="008D0A2B"/>
    <w:rsid w:val="008D6A4E"/>
    <w:rsid w:val="008F738C"/>
    <w:rsid w:val="00945C91"/>
    <w:rsid w:val="009476F9"/>
    <w:rsid w:val="00956EE8"/>
    <w:rsid w:val="009678B1"/>
    <w:rsid w:val="0097482B"/>
    <w:rsid w:val="00986FA8"/>
    <w:rsid w:val="009A1175"/>
    <w:rsid w:val="009A279D"/>
    <w:rsid w:val="009C7035"/>
    <w:rsid w:val="009C7BE7"/>
    <w:rsid w:val="009D4EF2"/>
    <w:rsid w:val="009E6215"/>
    <w:rsid w:val="00A03FC8"/>
    <w:rsid w:val="00A1104C"/>
    <w:rsid w:val="00A43F8E"/>
    <w:rsid w:val="00A50A15"/>
    <w:rsid w:val="00A706F1"/>
    <w:rsid w:val="00A71783"/>
    <w:rsid w:val="00AB4166"/>
    <w:rsid w:val="00AB7702"/>
    <w:rsid w:val="00AC124F"/>
    <w:rsid w:val="00AC6D3E"/>
    <w:rsid w:val="00AE22B3"/>
    <w:rsid w:val="00B2245A"/>
    <w:rsid w:val="00B23595"/>
    <w:rsid w:val="00B45296"/>
    <w:rsid w:val="00B50BDD"/>
    <w:rsid w:val="00B53D45"/>
    <w:rsid w:val="00B63A37"/>
    <w:rsid w:val="00BD670B"/>
    <w:rsid w:val="00BE52DA"/>
    <w:rsid w:val="00BE777A"/>
    <w:rsid w:val="00C0181F"/>
    <w:rsid w:val="00C07112"/>
    <w:rsid w:val="00C12241"/>
    <w:rsid w:val="00C20EE0"/>
    <w:rsid w:val="00C4718A"/>
    <w:rsid w:val="00C5036F"/>
    <w:rsid w:val="00C828B3"/>
    <w:rsid w:val="00D33AE5"/>
    <w:rsid w:val="00D520F1"/>
    <w:rsid w:val="00D559F6"/>
    <w:rsid w:val="00D63541"/>
    <w:rsid w:val="00D75DD1"/>
    <w:rsid w:val="00D91D47"/>
    <w:rsid w:val="00D9523C"/>
    <w:rsid w:val="00DA41A2"/>
    <w:rsid w:val="00DC13CC"/>
    <w:rsid w:val="00E00126"/>
    <w:rsid w:val="00E159B9"/>
    <w:rsid w:val="00E2158B"/>
    <w:rsid w:val="00E23FD2"/>
    <w:rsid w:val="00E3064C"/>
    <w:rsid w:val="00E33182"/>
    <w:rsid w:val="00E512AF"/>
    <w:rsid w:val="00E672E4"/>
    <w:rsid w:val="00EC28D8"/>
    <w:rsid w:val="00F27DEE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2018-04-04T19:43:00Z</cp:lastPrinted>
  <dcterms:created xsi:type="dcterms:W3CDTF">2019-08-02T15:15:00Z</dcterms:created>
  <dcterms:modified xsi:type="dcterms:W3CDTF">2019-08-02T15:18:00Z</dcterms:modified>
</cp:coreProperties>
</file>