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57" w:rsidRPr="004A34C5" w:rsidRDefault="00D76057" w:rsidP="00D76057">
      <w:pPr>
        <w:pageBreakBefore/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4A34C5">
        <w:rPr>
          <w:rFonts w:ascii="Verdana" w:hAnsi="Verdana"/>
          <w:b/>
          <w:sz w:val="21"/>
          <w:szCs w:val="21"/>
        </w:rPr>
        <w:t xml:space="preserve">PROCESSO LICITATÓRIO Nº </w:t>
      </w:r>
      <w:r w:rsidR="00F273F3" w:rsidRPr="004A34C5">
        <w:rPr>
          <w:rFonts w:ascii="Verdana" w:hAnsi="Verdana"/>
          <w:b/>
          <w:sz w:val="21"/>
          <w:szCs w:val="21"/>
        </w:rPr>
        <w:t>051/2019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4A34C5">
        <w:rPr>
          <w:rFonts w:ascii="Verdana" w:hAnsi="Verdana"/>
          <w:b/>
          <w:sz w:val="21"/>
          <w:szCs w:val="21"/>
        </w:rPr>
        <w:t xml:space="preserve">PREGÃO PRESENCIAL Nº </w:t>
      </w:r>
      <w:r w:rsidR="00F273F3" w:rsidRPr="004A34C5">
        <w:rPr>
          <w:rFonts w:ascii="Verdana" w:hAnsi="Verdana"/>
          <w:b/>
          <w:sz w:val="21"/>
          <w:szCs w:val="21"/>
        </w:rPr>
        <w:t>032/2019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066F03" w:rsidRPr="004A34C5" w:rsidRDefault="00066F03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ATA DE REGISTRO DE PREÇOS Nº </w:t>
      </w:r>
      <w:r w:rsidR="00AE75DA" w:rsidRPr="004A34C5">
        <w:rPr>
          <w:rFonts w:ascii="Verdana" w:hAnsi="Verdana"/>
          <w:sz w:val="21"/>
          <w:szCs w:val="21"/>
        </w:rPr>
        <w:t>026/2019</w:t>
      </w:r>
      <w:r w:rsidRPr="004A34C5">
        <w:rPr>
          <w:rFonts w:ascii="Verdana" w:hAnsi="Verdana"/>
          <w:sz w:val="21"/>
          <w:szCs w:val="21"/>
        </w:rPr>
        <w:t>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PREGÃO Nº </w:t>
      </w:r>
      <w:r w:rsidR="00F273F3" w:rsidRPr="004A34C5">
        <w:rPr>
          <w:rFonts w:ascii="Verdana" w:hAnsi="Verdana"/>
          <w:sz w:val="21"/>
          <w:szCs w:val="21"/>
        </w:rPr>
        <w:t>032/2019</w:t>
      </w:r>
      <w:r w:rsidRPr="004A34C5">
        <w:rPr>
          <w:rFonts w:ascii="Verdana" w:hAnsi="Verdana"/>
          <w:sz w:val="21"/>
          <w:szCs w:val="21"/>
        </w:rPr>
        <w:t>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PROCESSO Nº </w:t>
      </w:r>
      <w:r w:rsidR="00F273F3" w:rsidRPr="004A34C5">
        <w:rPr>
          <w:rFonts w:ascii="Verdana" w:hAnsi="Verdana"/>
          <w:sz w:val="21"/>
          <w:szCs w:val="21"/>
        </w:rPr>
        <w:t>051/2019</w:t>
      </w:r>
      <w:r w:rsidRPr="004A34C5">
        <w:rPr>
          <w:rFonts w:ascii="Verdana" w:hAnsi="Verdana"/>
          <w:sz w:val="21"/>
          <w:szCs w:val="21"/>
        </w:rPr>
        <w:t>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>VALIDADE: 12 meses.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4A34C5">
        <w:rPr>
          <w:rFonts w:ascii="Verdana" w:hAnsi="Verdana" w:cs="Arial"/>
          <w:sz w:val="21"/>
          <w:szCs w:val="21"/>
        </w:rPr>
        <w:t xml:space="preserve">Aos </w:t>
      </w:r>
      <w:r w:rsidR="00066F03" w:rsidRPr="004A34C5">
        <w:rPr>
          <w:rFonts w:ascii="Verdana" w:hAnsi="Verdana" w:cs="Arial"/>
          <w:sz w:val="21"/>
          <w:szCs w:val="21"/>
        </w:rPr>
        <w:t xml:space="preserve">17 (dezessete) </w:t>
      </w:r>
      <w:r w:rsidRPr="004A34C5">
        <w:rPr>
          <w:rFonts w:ascii="Verdana" w:hAnsi="Verdana" w:cs="Arial"/>
          <w:sz w:val="21"/>
          <w:szCs w:val="21"/>
        </w:rPr>
        <w:t>dias do mês de</w:t>
      </w:r>
      <w:r w:rsidR="00066F03" w:rsidRPr="004A34C5">
        <w:rPr>
          <w:rFonts w:ascii="Verdana" w:hAnsi="Verdana" w:cs="Arial"/>
          <w:sz w:val="21"/>
          <w:szCs w:val="21"/>
        </w:rPr>
        <w:t xml:space="preserve"> junho </w:t>
      </w:r>
      <w:r w:rsidRPr="004A34C5">
        <w:rPr>
          <w:rFonts w:ascii="Verdana" w:hAnsi="Verdana" w:cs="Arial"/>
          <w:sz w:val="21"/>
          <w:szCs w:val="21"/>
        </w:rPr>
        <w:t xml:space="preserve">de </w:t>
      </w:r>
      <w:r w:rsidR="001C4FEF" w:rsidRPr="004A34C5">
        <w:rPr>
          <w:rFonts w:ascii="Verdana" w:hAnsi="Verdana" w:cs="Arial"/>
          <w:sz w:val="21"/>
          <w:szCs w:val="21"/>
        </w:rPr>
        <w:t>2019</w:t>
      </w:r>
      <w:r w:rsidRPr="004A34C5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066F03" w:rsidRPr="004A34C5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4A34C5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066F03" w:rsidRPr="004A34C5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066F03" w:rsidRPr="004A34C5">
        <w:rPr>
          <w:rFonts w:ascii="Verdana" w:hAnsi="Verdana" w:cs="Arial"/>
          <w:sz w:val="21"/>
          <w:szCs w:val="21"/>
        </w:rPr>
        <w:t>Filgueiras</w:t>
      </w:r>
      <w:proofErr w:type="spellEnd"/>
      <w:r w:rsidRPr="004A34C5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F273F3" w:rsidRPr="004A34C5">
        <w:rPr>
          <w:rFonts w:ascii="Verdana" w:hAnsi="Verdana" w:cs="Arial"/>
          <w:sz w:val="21"/>
          <w:szCs w:val="21"/>
        </w:rPr>
        <w:t>032/2019</w:t>
      </w:r>
      <w:r w:rsidRPr="004A34C5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F273F3" w:rsidRPr="004A34C5">
        <w:rPr>
          <w:rFonts w:ascii="Verdana" w:hAnsi="Verdana" w:cs="Arial"/>
          <w:sz w:val="21"/>
          <w:szCs w:val="21"/>
        </w:rPr>
        <w:t>051/2019</w:t>
      </w:r>
      <w:r w:rsidRPr="004A34C5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4A34C5" w:rsidRPr="004A34C5">
        <w:rPr>
          <w:rFonts w:ascii="Verdana" w:hAnsi="Verdana" w:cs="Arial"/>
          <w:b/>
          <w:sz w:val="21"/>
          <w:szCs w:val="21"/>
        </w:rPr>
        <w:t>AGÁS GASES LTDA</w:t>
      </w:r>
      <w:r w:rsidR="004A34C5" w:rsidRPr="004A34C5">
        <w:rPr>
          <w:rFonts w:ascii="Verdana" w:hAnsi="Verdana" w:cs="Arial"/>
          <w:sz w:val="21"/>
          <w:szCs w:val="21"/>
        </w:rPr>
        <w:t>, localizado na Avenida São João, nº. 3462, Centro, Itaúna/MG, CEP 35.680-065, cujo CNPJ é 04.680.175/0001-48, neste ato representado por Eugênio Pereira da Silva, inscrito no CPF/MF sob o nº. 512.054.326-04 conforme quadro abaixo</w:t>
      </w:r>
      <w:r w:rsidRPr="004A34C5">
        <w:rPr>
          <w:rFonts w:ascii="Verdana" w:hAnsi="Verdana" w:cs="Arial"/>
          <w:sz w:val="21"/>
          <w:szCs w:val="21"/>
        </w:rPr>
        <w:t>:</w:t>
      </w:r>
    </w:p>
    <w:p w:rsidR="00D76057" w:rsidRPr="004A34C5" w:rsidRDefault="00D76057" w:rsidP="00D7605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80"/>
        <w:gridCol w:w="940"/>
        <w:gridCol w:w="940"/>
        <w:gridCol w:w="1120"/>
        <w:gridCol w:w="1059"/>
        <w:gridCol w:w="1100"/>
        <w:gridCol w:w="884"/>
        <w:gridCol w:w="1100"/>
      </w:tblGrid>
      <w:tr w:rsidR="0058363C" w:rsidRPr="0058363C" w:rsidTr="0058363C">
        <w:trPr>
          <w:trHeight w:val="2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58363C" w:rsidRPr="0058363C" w:rsidRDefault="0058363C" w:rsidP="0058363C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143" w:type="dxa"/>
            <w:gridSpan w:val="7"/>
            <w:shd w:val="clear" w:color="auto" w:fill="auto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58363C" w:rsidRPr="0058363C" w:rsidTr="0058363C">
        <w:trPr>
          <w:trHeight w:val="20"/>
        </w:trPr>
        <w:tc>
          <w:tcPr>
            <w:tcW w:w="541" w:type="dxa"/>
            <w:vMerge/>
            <w:vAlign w:val="center"/>
            <w:hideMark/>
          </w:tcPr>
          <w:p w:rsidR="0058363C" w:rsidRPr="0058363C" w:rsidRDefault="0058363C" w:rsidP="0058363C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58363C" w:rsidRPr="0058363C" w:rsidRDefault="0058363C" w:rsidP="0058363C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00" w:type="dxa"/>
            <w:gridSpan w:val="3"/>
            <w:shd w:val="clear" w:color="000000" w:fill="BFBFB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2159" w:type="dxa"/>
            <w:gridSpan w:val="2"/>
            <w:shd w:val="clear" w:color="000000" w:fill="BFBFB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84" w:type="dxa"/>
            <w:gridSpan w:val="2"/>
            <w:shd w:val="clear" w:color="000000" w:fill="BFBFB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58363C" w:rsidRPr="0058363C" w:rsidTr="0058363C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58363C" w:rsidRPr="0058363C" w:rsidRDefault="0058363C" w:rsidP="0058363C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58363C" w:rsidRPr="0058363C" w:rsidRDefault="0058363C" w:rsidP="0058363C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Qtde</w:t>
            </w:r>
            <w:proofErr w:type="spellEnd"/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059" w:type="dxa"/>
            <w:vMerge w:val="restart"/>
            <w:shd w:val="clear" w:color="000000" w:fill="D9D9D9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Qtde</w:t>
            </w:r>
            <w:proofErr w:type="spellEnd"/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884" w:type="dxa"/>
            <w:vMerge w:val="restart"/>
            <w:shd w:val="clear" w:color="000000" w:fill="D9D9D9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Qtde</w:t>
            </w:r>
            <w:proofErr w:type="spellEnd"/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Valor Total</w:t>
            </w:r>
          </w:p>
        </w:tc>
      </w:tr>
      <w:tr w:rsidR="0058363C" w:rsidRPr="0058363C" w:rsidTr="0058363C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58363C" w:rsidRPr="0058363C" w:rsidRDefault="0058363C" w:rsidP="0058363C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58363C" w:rsidRPr="0058363C" w:rsidRDefault="0058363C" w:rsidP="0058363C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58363C" w:rsidRPr="0058363C" w:rsidRDefault="0058363C" w:rsidP="0058363C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58363C" w:rsidRPr="0058363C" w:rsidRDefault="0058363C" w:rsidP="0058363C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58363C" w:rsidRPr="0058363C" w:rsidRDefault="0058363C" w:rsidP="0058363C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:rsidR="0058363C" w:rsidRPr="0058363C" w:rsidRDefault="0058363C" w:rsidP="0058363C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58363C" w:rsidRPr="0058363C" w:rsidRDefault="0058363C" w:rsidP="0058363C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58363C" w:rsidRPr="0058363C" w:rsidRDefault="0058363C" w:rsidP="0058363C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58363C" w:rsidRPr="0058363C" w:rsidRDefault="0058363C" w:rsidP="0058363C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</w:tr>
      <w:tr w:rsidR="0058363C" w:rsidRPr="0058363C" w:rsidTr="0058363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8363C" w:rsidRPr="0058363C" w:rsidRDefault="0058363C" w:rsidP="0058363C">
            <w:pPr>
              <w:jc w:val="both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noProof/>
                <w:color w:val="000000"/>
                <w:sz w:val="14"/>
                <w:szCs w:val="14"/>
              </w:rPr>
              <w:t>AR COMPRIMIDO MEDICINAL 6 m</w:t>
            </w:r>
            <w:r w:rsidRPr="0058363C">
              <w:rPr>
                <w:rFonts w:ascii="Verdana" w:hAnsi="Verdana" w:cs="Times New Roman"/>
                <w:noProof/>
                <w:color w:val="000000"/>
                <w:sz w:val="14"/>
                <w:szCs w:val="14"/>
                <w:vertAlign w:val="superscript"/>
              </w:rPr>
              <w:t xml:space="preserve">3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15,5000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9.300,00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9.300,00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46.500,00</w:t>
            </w:r>
          </w:p>
        </w:tc>
      </w:tr>
      <w:tr w:rsidR="0058363C" w:rsidRPr="0058363C" w:rsidTr="0058363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8363C" w:rsidRPr="0058363C" w:rsidRDefault="0058363C" w:rsidP="0058363C">
            <w:pPr>
              <w:jc w:val="both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noProof/>
                <w:color w:val="000000"/>
                <w:sz w:val="14"/>
                <w:szCs w:val="14"/>
              </w:rPr>
              <w:t>OXIGENIO 1 M</w:t>
            </w:r>
            <w:r w:rsidRPr="0058363C">
              <w:rPr>
                <w:rFonts w:ascii="Verdana" w:hAnsi="Verdana" w:cs="Times New Roman"/>
                <w:noProof/>
                <w:color w:val="000000"/>
                <w:sz w:val="14"/>
                <w:szCs w:val="14"/>
                <w:vertAlign w:val="superscript"/>
              </w:rPr>
              <w:t xml:space="preserve">3 </w:t>
            </w:r>
            <w:r w:rsidRPr="0058363C">
              <w:rPr>
                <w:rFonts w:ascii="Verdana" w:hAnsi="Verdana" w:cs="Times New Roman"/>
                <w:noProof/>
                <w:color w:val="000000"/>
                <w:sz w:val="14"/>
                <w:szCs w:val="14"/>
              </w:rPr>
              <w:t>CILINDROS, TRANSPORTAVEL PARA RECARGA DE OXIGENIO MEDICINAL COM CAPACIDADE PARA APROXIMADAMENTE 01M</w:t>
            </w:r>
            <w:r w:rsidRPr="0058363C">
              <w:rPr>
                <w:rFonts w:ascii="Verdana" w:hAnsi="Verdana" w:cs="Times New Roman"/>
                <w:noProof/>
                <w:color w:val="000000"/>
                <w:sz w:val="14"/>
                <w:szCs w:val="14"/>
                <w:vertAlign w:val="superscript"/>
              </w:rPr>
              <w:t>3</w:t>
            </w:r>
            <w:r w:rsidRPr="0058363C">
              <w:rPr>
                <w:rFonts w:ascii="Verdana" w:hAnsi="Verdana" w:cs="Times New Roman"/>
                <w:noProof/>
                <w:color w:val="000000"/>
                <w:sz w:val="14"/>
                <w:szCs w:val="14"/>
              </w:rPr>
              <w:t xml:space="preserve"> PARA TRANSPORTE NA AMBULÂNCIA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49,0000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14.700,00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14.700,00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73.500,00</w:t>
            </w:r>
          </w:p>
        </w:tc>
      </w:tr>
      <w:tr w:rsidR="0058363C" w:rsidRPr="0058363C" w:rsidTr="0058363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8363C" w:rsidRPr="0058363C" w:rsidRDefault="0058363C" w:rsidP="0058363C">
            <w:pPr>
              <w:jc w:val="both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OXIGÊNIO 10 m</w:t>
            </w:r>
            <w:r w:rsidRPr="0058363C">
              <w:rPr>
                <w:rFonts w:ascii="Verdana" w:hAnsi="Verdana" w:cs="Times New Roman"/>
                <w:color w:val="000000"/>
                <w:sz w:val="14"/>
                <w:szCs w:val="14"/>
                <w:vertAlign w:val="superscript"/>
              </w:rPr>
              <w:t xml:space="preserve">3 </w:t>
            </w: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CILINDROS, TRANSPORTAVEL EM AÇO PARA RECARGA DE OXIGENIO MEDICINAL COM CAPACIDADE PARA APROXIMADAMENTE 10M</w:t>
            </w:r>
            <w:r w:rsidRPr="0058363C">
              <w:rPr>
                <w:rFonts w:ascii="Verdana" w:hAnsi="Verdana" w:cs="Times New Roman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10,2000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61.200,00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61.200,00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306.000,00</w:t>
            </w:r>
          </w:p>
        </w:tc>
      </w:tr>
      <w:tr w:rsidR="0058363C" w:rsidRPr="0058363C" w:rsidTr="0058363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8363C" w:rsidRPr="0058363C" w:rsidRDefault="0058363C" w:rsidP="0058363C">
            <w:pPr>
              <w:jc w:val="both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noProof/>
                <w:color w:val="000000"/>
                <w:sz w:val="14"/>
                <w:szCs w:val="14"/>
              </w:rPr>
              <w:t xml:space="preserve">OXIGENIO 2,25 M3 CILINDROS, TRANSPORTAVEL PARA RECARGA DE OXIGENIO MEDICINAL COM CAPACIDADE PARA APROXIMADAMENTE 2,25 M3 PARA </w:t>
            </w:r>
            <w:r w:rsidRPr="0058363C">
              <w:rPr>
                <w:rFonts w:ascii="Verdana" w:hAnsi="Verdana" w:cs="Times New Roman"/>
                <w:noProof/>
                <w:color w:val="000000"/>
                <w:sz w:val="14"/>
                <w:szCs w:val="14"/>
              </w:rPr>
              <w:lastRenderedPageBreak/>
              <w:t>TRANSPORTE NA AMBULÂNCIA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lastRenderedPageBreak/>
              <w:t>450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20,0000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2250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45.000,00</w:t>
            </w:r>
          </w:p>
        </w:tc>
      </w:tr>
      <w:tr w:rsidR="0058363C" w:rsidRPr="0058363C" w:rsidTr="0058363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lastRenderedPageBreak/>
              <w:t>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8363C" w:rsidRPr="0058363C" w:rsidRDefault="0058363C" w:rsidP="0058363C">
            <w:pPr>
              <w:jc w:val="both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noProof/>
                <w:color w:val="000000"/>
                <w:sz w:val="14"/>
                <w:szCs w:val="14"/>
              </w:rPr>
              <w:t>OXIGENIO  4 M3 CILINDROS, TRANSPORTAVEL PARA RECARGA DE OXIGENIO MEDICINAL COM CAPACIDADE PARA APROXIMADAMENTE 04 M3 PARA TRANSPORTE NA AMBULÂNCIA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19,4000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7.760,00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7.760,00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38.800,00</w:t>
            </w:r>
          </w:p>
        </w:tc>
      </w:tr>
      <w:tr w:rsidR="0058363C" w:rsidRPr="0058363C" w:rsidTr="0058363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8363C" w:rsidRPr="0058363C" w:rsidRDefault="0058363C" w:rsidP="0058363C">
            <w:pPr>
              <w:jc w:val="both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noProof/>
                <w:color w:val="000000"/>
                <w:sz w:val="14"/>
                <w:szCs w:val="14"/>
              </w:rPr>
              <w:t>OXIGENIO 6 M</w:t>
            </w:r>
            <w:r w:rsidRPr="0058363C">
              <w:rPr>
                <w:rFonts w:ascii="Verdana" w:hAnsi="Verdana" w:cs="Times New Roman"/>
                <w:noProof/>
                <w:color w:val="000000"/>
                <w:sz w:val="14"/>
                <w:szCs w:val="14"/>
                <w:vertAlign w:val="superscript"/>
              </w:rPr>
              <w:t xml:space="preserve">3 </w:t>
            </w:r>
            <w:r w:rsidRPr="0058363C">
              <w:rPr>
                <w:rFonts w:ascii="Verdana" w:hAnsi="Verdana" w:cs="Times New Roman"/>
                <w:noProof/>
                <w:color w:val="000000"/>
                <w:sz w:val="14"/>
                <w:szCs w:val="14"/>
              </w:rPr>
              <w:t>CILINDROS, TRANSPORTAVEL PARA RECARGA DE OXIGENIO MEDICINAL COM CAPACIDADE PARA APROXIMADAMENTE 06 M</w:t>
            </w:r>
            <w:r w:rsidRPr="0058363C">
              <w:rPr>
                <w:rFonts w:ascii="Verdana" w:hAnsi="Verdana" w:cs="Times New Roman"/>
                <w:noProof/>
                <w:color w:val="000000"/>
                <w:sz w:val="14"/>
                <w:szCs w:val="14"/>
                <w:vertAlign w:val="superscript"/>
              </w:rPr>
              <w:t>3</w:t>
            </w:r>
            <w:r w:rsidRPr="0058363C">
              <w:rPr>
                <w:rFonts w:ascii="Verdana" w:hAnsi="Verdana" w:cs="Times New Roman"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11,7000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3.510,00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3.510,00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8363C" w:rsidRPr="0058363C" w:rsidRDefault="0058363C" w:rsidP="0058363C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58363C">
              <w:rPr>
                <w:rFonts w:ascii="Verdana" w:hAnsi="Verdana" w:cs="Times New Roman"/>
                <w:color w:val="000000"/>
                <w:sz w:val="14"/>
                <w:szCs w:val="14"/>
              </w:rPr>
              <w:t>17.550,00</w:t>
            </w:r>
          </w:p>
        </w:tc>
      </w:tr>
    </w:tbl>
    <w:p w:rsidR="00D76057" w:rsidRPr="004A34C5" w:rsidRDefault="00D76057" w:rsidP="00D76057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4A34C5">
        <w:rPr>
          <w:rFonts w:ascii="Verdana" w:hAnsi="Verdana"/>
          <w:b/>
          <w:sz w:val="21"/>
          <w:szCs w:val="21"/>
        </w:rPr>
        <w:t xml:space="preserve">01 </w:t>
      </w:r>
      <w:r w:rsidRPr="004A34C5">
        <w:rPr>
          <w:rFonts w:ascii="Verdana" w:hAnsi="Verdana"/>
          <w:b/>
          <w:sz w:val="21"/>
          <w:szCs w:val="21"/>
        </w:rPr>
        <w:noBreakHyphen/>
        <w:t xml:space="preserve"> DO OBJETO: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D76057" w:rsidRPr="004A34C5" w:rsidRDefault="00D76057" w:rsidP="00D76057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 </w:t>
      </w:r>
      <w:r w:rsidRPr="004A34C5">
        <w:rPr>
          <w:rFonts w:ascii="Verdana" w:hAnsi="Verdana"/>
          <w:sz w:val="21"/>
          <w:szCs w:val="21"/>
        </w:rPr>
        <w:noBreakHyphen/>
        <w:t xml:space="preserve"> Os objetos do fornecimento são os produtos constantes </w:t>
      </w:r>
      <w:r w:rsidR="00E32356" w:rsidRPr="004A34C5">
        <w:rPr>
          <w:rFonts w:ascii="Verdana" w:hAnsi="Verdana"/>
          <w:sz w:val="21"/>
          <w:szCs w:val="21"/>
        </w:rPr>
        <w:t>do quadro acima</w:t>
      </w:r>
      <w:r w:rsidRPr="004A34C5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D76057" w:rsidRPr="004A34C5" w:rsidRDefault="00D76057" w:rsidP="00D76057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4A34C5">
        <w:rPr>
          <w:rFonts w:ascii="Verdana" w:hAnsi="Verdana"/>
          <w:b/>
          <w:sz w:val="21"/>
          <w:szCs w:val="21"/>
        </w:rPr>
        <w:t xml:space="preserve">02 </w:t>
      </w:r>
      <w:r w:rsidRPr="004A34C5">
        <w:rPr>
          <w:rFonts w:ascii="Verdana" w:hAnsi="Verdana"/>
          <w:b/>
          <w:sz w:val="21"/>
          <w:szCs w:val="21"/>
        </w:rPr>
        <w:noBreakHyphen/>
        <w:t xml:space="preserve"> DA VALIDADE DO REGISTRO DE PREÇOS</w:t>
      </w:r>
    </w:p>
    <w:p w:rsidR="00D76057" w:rsidRPr="004A34C5" w:rsidRDefault="00D76057" w:rsidP="00D76057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 </w:t>
      </w:r>
      <w:r w:rsidRPr="004A34C5">
        <w:rPr>
          <w:rFonts w:ascii="Verdana" w:hAnsi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II </w:t>
      </w:r>
      <w:r w:rsidRPr="004A34C5">
        <w:rPr>
          <w:rFonts w:ascii="Verdana" w:hAnsi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III </w:t>
      </w:r>
      <w:r w:rsidRPr="004A34C5">
        <w:rPr>
          <w:rFonts w:ascii="Verdana" w:hAnsi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4A34C5">
        <w:rPr>
          <w:rFonts w:ascii="Verdana" w:hAnsi="Verdana"/>
          <w:b/>
          <w:sz w:val="21"/>
          <w:szCs w:val="21"/>
        </w:rPr>
        <w:t xml:space="preserve">03 </w:t>
      </w:r>
      <w:r w:rsidRPr="004A34C5">
        <w:rPr>
          <w:rFonts w:ascii="Verdana" w:hAnsi="Verdana"/>
          <w:b/>
          <w:sz w:val="21"/>
          <w:szCs w:val="21"/>
        </w:rPr>
        <w:noBreakHyphen/>
        <w:t xml:space="preserve"> DA UTILIZAÇÃO DA ATA DE REGISTRO DE PREÇOS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 </w:t>
      </w:r>
      <w:r w:rsidRPr="004A34C5">
        <w:rPr>
          <w:rFonts w:ascii="Verdana" w:hAnsi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4A34C5">
        <w:rPr>
          <w:rFonts w:ascii="Verdana" w:hAnsi="Verdana"/>
          <w:b/>
          <w:sz w:val="21"/>
          <w:szCs w:val="21"/>
        </w:rPr>
        <w:t xml:space="preserve">04 </w:t>
      </w:r>
      <w:r w:rsidRPr="004A34C5">
        <w:rPr>
          <w:rFonts w:ascii="Verdana" w:hAnsi="Verdana"/>
          <w:b/>
          <w:sz w:val="21"/>
          <w:szCs w:val="21"/>
        </w:rPr>
        <w:noBreakHyphen/>
        <w:t xml:space="preserve"> DO PREÇO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 </w:t>
      </w:r>
      <w:r w:rsidRPr="004A34C5">
        <w:rPr>
          <w:rFonts w:ascii="Verdana" w:hAnsi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F273F3" w:rsidRPr="004A34C5">
        <w:rPr>
          <w:rFonts w:ascii="Verdana" w:hAnsi="Verdana"/>
          <w:sz w:val="21"/>
          <w:szCs w:val="21"/>
        </w:rPr>
        <w:t>032/2019</w:t>
      </w:r>
      <w:r w:rsidRPr="004A34C5">
        <w:rPr>
          <w:rFonts w:ascii="Verdana" w:hAnsi="Verdana"/>
          <w:sz w:val="21"/>
          <w:szCs w:val="21"/>
        </w:rPr>
        <w:t>.</w:t>
      </w:r>
    </w:p>
    <w:p w:rsidR="00D76057" w:rsidRPr="004A34C5" w:rsidRDefault="00D76057" w:rsidP="00D76057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II </w:t>
      </w:r>
      <w:r w:rsidRPr="004A34C5">
        <w:rPr>
          <w:rFonts w:ascii="Verdana" w:hAnsi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</w:t>
      </w:r>
      <w:r w:rsidRPr="004A34C5">
        <w:rPr>
          <w:rFonts w:ascii="Verdana" w:hAnsi="Verdana"/>
          <w:sz w:val="21"/>
          <w:szCs w:val="21"/>
        </w:rPr>
        <w:lastRenderedPageBreak/>
        <w:t xml:space="preserve">Edital do Pregão nº </w:t>
      </w:r>
      <w:r w:rsidR="00F273F3" w:rsidRPr="004A34C5">
        <w:rPr>
          <w:rFonts w:ascii="Verdana" w:hAnsi="Verdana"/>
          <w:sz w:val="21"/>
          <w:szCs w:val="21"/>
        </w:rPr>
        <w:t>032/2019</w:t>
      </w:r>
      <w:r w:rsidRPr="004A34C5">
        <w:rPr>
          <w:rFonts w:ascii="Verdana" w:hAnsi="Verdana"/>
          <w:sz w:val="21"/>
          <w:szCs w:val="21"/>
        </w:rPr>
        <w:t>, que integra o presente instrumento de compromisso.</w:t>
      </w:r>
    </w:p>
    <w:p w:rsidR="00D76057" w:rsidRPr="004A34C5" w:rsidRDefault="00D76057" w:rsidP="00D76057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III </w:t>
      </w:r>
      <w:r w:rsidRPr="004A34C5">
        <w:rPr>
          <w:rFonts w:ascii="Verdana" w:hAnsi="Verdana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F273F3" w:rsidRPr="004A34C5">
        <w:rPr>
          <w:rFonts w:ascii="Verdana" w:hAnsi="Verdana"/>
          <w:sz w:val="21"/>
          <w:szCs w:val="21"/>
        </w:rPr>
        <w:t>032/2019</w:t>
      </w:r>
      <w:r w:rsidRPr="004A34C5">
        <w:rPr>
          <w:rFonts w:ascii="Verdana" w:hAnsi="Verdana"/>
          <w:sz w:val="21"/>
          <w:szCs w:val="21"/>
        </w:rPr>
        <w:t xml:space="preserve"> pelas empresas detentoras da presente Ata, as quais também a integram.</w:t>
      </w:r>
    </w:p>
    <w:p w:rsidR="00D76057" w:rsidRPr="004A34C5" w:rsidRDefault="00D76057" w:rsidP="00D7605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D76057" w:rsidRPr="004A34C5" w:rsidRDefault="00D76057" w:rsidP="00D7605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4A34C5">
        <w:rPr>
          <w:rFonts w:ascii="Verdana" w:hAnsi="Verdana"/>
          <w:b/>
          <w:sz w:val="21"/>
          <w:szCs w:val="21"/>
        </w:rPr>
        <w:t xml:space="preserve">05 </w:t>
      </w:r>
      <w:r w:rsidRPr="004A34C5">
        <w:rPr>
          <w:rFonts w:ascii="Verdana" w:hAnsi="Verdana"/>
          <w:b/>
          <w:sz w:val="21"/>
          <w:szCs w:val="21"/>
        </w:rPr>
        <w:noBreakHyphen/>
        <w:t xml:space="preserve"> DO LOCAL E PRAZO DE ENTREGA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 </w:t>
      </w:r>
      <w:r w:rsidRPr="004A34C5">
        <w:rPr>
          <w:rFonts w:ascii="Verdana" w:hAnsi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II </w:t>
      </w:r>
      <w:r w:rsidRPr="004A34C5">
        <w:rPr>
          <w:rFonts w:ascii="Verdana" w:hAnsi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4A34C5">
        <w:rPr>
          <w:rFonts w:ascii="Verdana" w:hAnsi="Verdana"/>
          <w:b/>
          <w:sz w:val="21"/>
          <w:szCs w:val="21"/>
        </w:rPr>
        <w:t xml:space="preserve">06 </w:t>
      </w:r>
      <w:r w:rsidRPr="004A34C5">
        <w:rPr>
          <w:rFonts w:ascii="Verdana" w:hAnsi="Verdana"/>
          <w:b/>
          <w:sz w:val="21"/>
          <w:szCs w:val="21"/>
        </w:rPr>
        <w:noBreakHyphen/>
        <w:t xml:space="preserve"> DO PAGAMENTO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 </w:t>
      </w:r>
      <w:r w:rsidRPr="004A34C5">
        <w:rPr>
          <w:rFonts w:ascii="Verdana" w:hAnsi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4A34C5">
        <w:rPr>
          <w:rFonts w:ascii="Verdana" w:hAnsi="Verdana"/>
          <w:bCs/>
          <w:sz w:val="21"/>
          <w:szCs w:val="21"/>
        </w:rPr>
        <w:t xml:space="preserve">em até 30 (trinta) dias após recebimento </w:t>
      </w:r>
      <w:r w:rsidRPr="004A34C5">
        <w:rPr>
          <w:rFonts w:ascii="Verdana" w:hAnsi="Verdana"/>
          <w:sz w:val="21"/>
          <w:szCs w:val="21"/>
        </w:rPr>
        <w:t>definitivo pela unidade requisitante</w:t>
      </w:r>
      <w:r w:rsidRPr="004A34C5">
        <w:rPr>
          <w:rFonts w:ascii="Verdana" w:hAnsi="Verdana"/>
          <w:bCs/>
          <w:sz w:val="21"/>
          <w:szCs w:val="21"/>
        </w:rPr>
        <w:t xml:space="preserve"> do objeto, </w:t>
      </w:r>
      <w:r w:rsidRPr="004A34C5">
        <w:rPr>
          <w:rFonts w:ascii="Verdana" w:hAnsi="Verdana"/>
          <w:sz w:val="21"/>
          <w:szCs w:val="21"/>
        </w:rPr>
        <w:t>mediante apresentação da Nota Fiscal.</w:t>
      </w:r>
    </w:p>
    <w:p w:rsidR="00D76057" w:rsidRPr="004A34C5" w:rsidRDefault="00D76057" w:rsidP="00D76057">
      <w:pPr>
        <w:jc w:val="both"/>
        <w:rPr>
          <w:rFonts w:ascii="Verdana" w:hAnsi="Verdana"/>
          <w:bCs/>
          <w:sz w:val="21"/>
          <w:szCs w:val="21"/>
        </w:rPr>
      </w:pPr>
    </w:p>
    <w:p w:rsidR="00D76057" w:rsidRPr="004A34C5" w:rsidRDefault="00D76057" w:rsidP="00D76057">
      <w:pPr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II </w:t>
      </w:r>
      <w:r w:rsidRPr="004A34C5">
        <w:rPr>
          <w:rFonts w:ascii="Verdana" w:hAnsi="Verdana"/>
          <w:sz w:val="21"/>
          <w:szCs w:val="21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D76057" w:rsidRPr="004A34C5" w:rsidRDefault="00D76057" w:rsidP="00D76057">
      <w:pPr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I= (TX/100) </w:t>
      </w:r>
    </w:p>
    <w:p w:rsidR="00D76057" w:rsidRPr="004A34C5" w:rsidRDefault="00D76057" w:rsidP="00D76057">
      <w:pPr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EM = I x N x VP, onde: </w:t>
      </w:r>
    </w:p>
    <w:p w:rsidR="00D76057" w:rsidRPr="004A34C5" w:rsidRDefault="00D76057" w:rsidP="00D76057">
      <w:pPr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D76057" w:rsidRPr="004A34C5" w:rsidRDefault="00D76057" w:rsidP="00D76057">
      <w:pPr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D76057" w:rsidRPr="004A34C5" w:rsidRDefault="00D76057" w:rsidP="00D76057">
      <w:pPr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EM = Encargos moratórios; </w:t>
      </w:r>
    </w:p>
    <w:p w:rsidR="00D76057" w:rsidRPr="004A34C5" w:rsidRDefault="00D76057" w:rsidP="00D76057">
      <w:pPr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bCs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>VP = Valor da parcela em atraso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bCs/>
          <w:sz w:val="21"/>
          <w:szCs w:val="21"/>
        </w:rPr>
      </w:pPr>
    </w:p>
    <w:p w:rsidR="00D76057" w:rsidRPr="004A34C5" w:rsidRDefault="00D76057" w:rsidP="00D76057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4A34C5">
        <w:rPr>
          <w:rFonts w:ascii="Verdana" w:hAnsi="Verdana"/>
          <w:b/>
          <w:sz w:val="21"/>
          <w:szCs w:val="21"/>
        </w:rPr>
        <w:t xml:space="preserve">07 </w:t>
      </w:r>
      <w:r w:rsidRPr="004A34C5">
        <w:rPr>
          <w:rFonts w:ascii="Verdana" w:hAnsi="Verdana"/>
          <w:b/>
          <w:sz w:val="21"/>
          <w:szCs w:val="21"/>
        </w:rPr>
        <w:noBreakHyphen/>
        <w:t xml:space="preserve"> DAS CONDIÇÕES DE FORNECIMENTO</w:t>
      </w:r>
    </w:p>
    <w:p w:rsidR="00D76057" w:rsidRPr="004A34C5" w:rsidRDefault="00D76057" w:rsidP="00D76057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 </w:t>
      </w:r>
      <w:r w:rsidRPr="004A34C5">
        <w:rPr>
          <w:rFonts w:ascii="Verdana" w:hAnsi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II </w:t>
      </w:r>
      <w:r w:rsidRPr="004A34C5">
        <w:rPr>
          <w:rFonts w:ascii="Verdana" w:hAnsi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III </w:t>
      </w:r>
      <w:r w:rsidRPr="004A34C5">
        <w:rPr>
          <w:rFonts w:ascii="Verdana" w:hAnsi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</w:t>
      </w:r>
      <w:r w:rsidRPr="004A34C5">
        <w:rPr>
          <w:rFonts w:ascii="Verdana" w:hAnsi="Verdana"/>
          <w:sz w:val="21"/>
          <w:szCs w:val="21"/>
        </w:rPr>
        <w:lastRenderedPageBreak/>
        <w:t>devendo dela constar: a data, o valor unitário do produto, a quantidade pretendida, o local para a entrega, o carimbo e a assinatura do responsável.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IV </w:t>
      </w:r>
      <w:r w:rsidRPr="004A34C5">
        <w:rPr>
          <w:rFonts w:ascii="Verdana" w:hAnsi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V </w:t>
      </w:r>
      <w:r w:rsidRPr="004A34C5">
        <w:rPr>
          <w:rFonts w:ascii="Verdana" w:hAnsi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VI </w:t>
      </w:r>
      <w:r w:rsidRPr="004A34C5">
        <w:rPr>
          <w:rFonts w:ascii="Verdana" w:hAnsi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VII </w:t>
      </w:r>
      <w:r w:rsidRPr="004A34C5">
        <w:rPr>
          <w:rFonts w:ascii="Verdana" w:hAnsi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4A34C5">
        <w:rPr>
          <w:rFonts w:ascii="Verdana" w:hAnsi="Verdana"/>
          <w:b/>
          <w:sz w:val="21"/>
          <w:szCs w:val="21"/>
        </w:rPr>
        <w:t xml:space="preserve">08 </w:t>
      </w:r>
      <w:r w:rsidRPr="004A34C5">
        <w:rPr>
          <w:rFonts w:ascii="Verdana" w:hAnsi="Verdana"/>
          <w:b/>
          <w:sz w:val="21"/>
          <w:szCs w:val="21"/>
        </w:rPr>
        <w:noBreakHyphen/>
        <w:t xml:space="preserve"> DAS PENALIDADES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 </w:t>
      </w:r>
      <w:r w:rsidRPr="004A34C5">
        <w:rPr>
          <w:rFonts w:ascii="Verdana" w:hAnsi="Verdana"/>
          <w:sz w:val="21"/>
          <w:szCs w:val="21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II </w:t>
      </w:r>
      <w:r w:rsidRPr="004A34C5">
        <w:rPr>
          <w:rFonts w:ascii="Verdana" w:hAnsi="Verdana"/>
          <w:sz w:val="21"/>
          <w:szCs w:val="21"/>
        </w:rPr>
        <w:noBreakHyphen/>
        <w:t xml:space="preserve"> A recusa injustificada, das detentoras desta Ata, em atender as ordens de fornecimento, dentro do prazo de cinco dias, contados da sua emissão, poderá implicar na aplicação da multa de 50% (cinquenta por cento) do valor do documento de empenhamento de recursos.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III </w:t>
      </w:r>
      <w:r w:rsidRPr="004A34C5">
        <w:rPr>
          <w:rFonts w:ascii="Verdana" w:hAnsi="Verdana"/>
          <w:sz w:val="21"/>
          <w:szCs w:val="21"/>
        </w:rPr>
        <w:noBreakHyphen/>
        <w:t xml:space="preserve"> Pela inexecução total ou parcial de cada ajuste representado pela nota de empenho, a Administração poderá aplicar, às detentoras da presente Ata, a penalidade, de dez por cento do valor remanescente da nota de empenho, em qualquer hipótese de inexecução parcial do contrato, ou de qualquer outra irregularidade.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IV </w:t>
      </w:r>
      <w:r w:rsidRPr="004A34C5">
        <w:rPr>
          <w:rFonts w:ascii="Verdana" w:hAnsi="Verdana"/>
          <w:sz w:val="21"/>
          <w:szCs w:val="21"/>
        </w:rPr>
        <w:noBreakHyphen/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4A34C5">
        <w:rPr>
          <w:rFonts w:ascii="Verdana" w:hAnsi="Verdana"/>
          <w:b/>
          <w:sz w:val="21"/>
          <w:szCs w:val="21"/>
        </w:rPr>
        <w:t xml:space="preserve">09 </w:t>
      </w:r>
      <w:r w:rsidRPr="004A34C5">
        <w:rPr>
          <w:rFonts w:ascii="Verdana" w:hAnsi="Verdana"/>
          <w:b/>
          <w:sz w:val="21"/>
          <w:szCs w:val="21"/>
        </w:rPr>
        <w:noBreakHyphen/>
        <w:t xml:space="preserve"> DOS REAJUSTAMENTOS DE PREÇOS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 </w:t>
      </w:r>
      <w:r w:rsidRPr="004A34C5">
        <w:rPr>
          <w:rFonts w:ascii="Verdana" w:hAnsi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003/2015, que integra a presente Ata de Registro de Preços, ressalvados os casos de revisão de registro a que se refere o Decreto instituidor do Registro de preços.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lastRenderedPageBreak/>
        <w:t xml:space="preserve">II </w:t>
      </w:r>
      <w:r w:rsidRPr="004A34C5">
        <w:rPr>
          <w:rFonts w:ascii="Verdana" w:hAnsi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4A34C5">
        <w:rPr>
          <w:rFonts w:ascii="Verdana" w:hAnsi="Verdana"/>
          <w:b/>
          <w:sz w:val="21"/>
          <w:szCs w:val="21"/>
        </w:rPr>
        <w:t xml:space="preserve">10 </w:t>
      </w:r>
      <w:r w:rsidRPr="004A34C5">
        <w:rPr>
          <w:rFonts w:ascii="Verdana" w:hAnsi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 </w:t>
      </w:r>
      <w:r w:rsidRPr="004A34C5">
        <w:rPr>
          <w:rFonts w:ascii="Verdana" w:hAnsi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II </w:t>
      </w:r>
      <w:r w:rsidRPr="004A34C5">
        <w:rPr>
          <w:rFonts w:ascii="Verdana" w:hAnsi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D76057" w:rsidRPr="004A34C5" w:rsidRDefault="00D76057" w:rsidP="00D76057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4A34C5">
        <w:rPr>
          <w:rFonts w:ascii="Verdana" w:hAnsi="Verdana"/>
          <w:b/>
          <w:sz w:val="21"/>
          <w:szCs w:val="21"/>
        </w:rPr>
        <w:t xml:space="preserve">11 </w:t>
      </w:r>
      <w:r w:rsidRPr="004A34C5">
        <w:rPr>
          <w:rFonts w:ascii="Verdana" w:hAnsi="Verdana"/>
          <w:b/>
          <w:sz w:val="21"/>
          <w:szCs w:val="21"/>
        </w:rPr>
        <w:noBreakHyphen/>
        <w:t xml:space="preserve"> DO CANCELAMENTO DA ATA DE REGISTRO DE PREÇOS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I </w:t>
      </w:r>
      <w:r w:rsidRPr="004A34C5">
        <w:rPr>
          <w:rFonts w:ascii="Verdana" w:hAnsi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D76057" w:rsidRPr="004A34C5" w:rsidRDefault="00D76057" w:rsidP="00D76057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D76057" w:rsidRPr="004A34C5" w:rsidRDefault="00D76057" w:rsidP="00D76057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4A34C5">
        <w:rPr>
          <w:rFonts w:ascii="Verdana" w:hAnsi="Verdana"/>
          <w:b/>
          <w:sz w:val="21"/>
          <w:szCs w:val="21"/>
        </w:rPr>
        <w:t>Pela Administração, quando:</w:t>
      </w:r>
    </w:p>
    <w:p w:rsidR="00D76057" w:rsidRPr="004A34C5" w:rsidRDefault="00D76057" w:rsidP="00D7605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A </w:t>
      </w:r>
      <w:r w:rsidRPr="004A34C5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4A34C5">
        <w:rPr>
          <w:rFonts w:ascii="Verdana" w:hAnsi="Verdana"/>
          <w:sz w:val="21"/>
          <w:szCs w:val="21"/>
        </w:rPr>
        <w:t>a</w:t>
      </w:r>
      <w:proofErr w:type="spellEnd"/>
      <w:r w:rsidRPr="004A34C5">
        <w:rPr>
          <w:rFonts w:ascii="Verdana" w:hAnsi="Verdana"/>
          <w:sz w:val="21"/>
          <w:szCs w:val="21"/>
        </w:rPr>
        <w:t xml:space="preserve"> detentora não cumprir as obrigações constantes desta Ata de Registro de Preços;</w:t>
      </w:r>
    </w:p>
    <w:p w:rsidR="00D76057" w:rsidRPr="004A34C5" w:rsidRDefault="00D76057" w:rsidP="00D7605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B </w:t>
      </w:r>
      <w:r w:rsidRPr="004A34C5">
        <w:rPr>
          <w:rFonts w:ascii="Verdana" w:hAnsi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D76057" w:rsidRPr="004A34C5" w:rsidRDefault="00D76057" w:rsidP="00D7605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C </w:t>
      </w:r>
      <w:r w:rsidRPr="004A34C5">
        <w:rPr>
          <w:rFonts w:ascii="Verdana" w:hAnsi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D76057" w:rsidRPr="004A34C5" w:rsidRDefault="00D76057" w:rsidP="00D7605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D </w:t>
      </w:r>
      <w:r w:rsidRPr="004A34C5">
        <w:rPr>
          <w:rFonts w:ascii="Verdana" w:hAnsi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D76057" w:rsidRPr="004A34C5" w:rsidRDefault="00D76057" w:rsidP="00D76057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E </w:t>
      </w:r>
      <w:r w:rsidRPr="004A34C5">
        <w:rPr>
          <w:rFonts w:ascii="Verdana" w:hAnsi="Verdana"/>
          <w:sz w:val="21"/>
          <w:szCs w:val="21"/>
        </w:rPr>
        <w:noBreakHyphen/>
        <w:t xml:space="preserve"> os preços registrados se apresentarem superiores aos praticados no mercado;</w:t>
      </w:r>
    </w:p>
    <w:p w:rsidR="00D76057" w:rsidRPr="004A34C5" w:rsidRDefault="00D76057" w:rsidP="00D7605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F </w:t>
      </w:r>
      <w:r w:rsidRPr="004A34C5">
        <w:rPr>
          <w:rFonts w:ascii="Verdana" w:hAnsi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D76057" w:rsidRPr="004A34C5" w:rsidRDefault="00D76057" w:rsidP="00D76057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G </w:t>
      </w:r>
      <w:r w:rsidRPr="004A34C5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D76057" w:rsidRPr="004A34C5" w:rsidRDefault="00D76057" w:rsidP="00D76057">
      <w:pPr>
        <w:pStyle w:val="Recuodecorpodetexto23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4A34C5">
        <w:rPr>
          <w:rFonts w:ascii="Verdana" w:hAnsi="Verdana" w:cs="Arial"/>
          <w:b/>
          <w:sz w:val="21"/>
          <w:szCs w:val="21"/>
        </w:rPr>
        <w:t>Pelas detentoras, quando</w:t>
      </w:r>
      <w:r w:rsidRPr="004A34C5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D76057" w:rsidRPr="004A34C5" w:rsidRDefault="00D76057" w:rsidP="00D76057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A </w:t>
      </w:r>
      <w:r w:rsidRPr="004A34C5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4A34C5">
        <w:rPr>
          <w:rFonts w:ascii="Verdana" w:hAnsi="Verdana"/>
          <w:sz w:val="21"/>
          <w:szCs w:val="21"/>
        </w:rPr>
        <w:t>a</w:t>
      </w:r>
      <w:proofErr w:type="spellEnd"/>
      <w:r w:rsidRPr="004A34C5">
        <w:rPr>
          <w:rFonts w:ascii="Verdana" w:hAnsi="Verdana"/>
          <w:sz w:val="21"/>
          <w:szCs w:val="21"/>
        </w:rPr>
        <w:t xml:space="preserve"> solicitação das detentoras para cancelamento dos preços registrados </w:t>
      </w:r>
      <w:proofErr w:type="spellStart"/>
      <w:r w:rsidRPr="004A34C5">
        <w:rPr>
          <w:rFonts w:ascii="Verdana" w:hAnsi="Verdana"/>
          <w:sz w:val="21"/>
          <w:szCs w:val="21"/>
        </w:rPr>
        <w:t>devera</w:t>
      </w:r>
      <w:proofErr w:type="spellEnd"/>
      <w:r w:rsidRPr="004A34C5">
        <w:rPr>
          <w:rFonts w:ascii="Verdana" w:hAnsi="Verdana"/>
          <w:sz w:val="21"/>
          <w:szCs w:val="21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D76057" w:rsidRPr="004A34C5" w:rsidRDefault="00D76057" w:rsidP="00D76057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D76057" w:rsidRPr="004A34C5" w:rsidRDefault="00D76057" w:rsidP="00D76057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4A34C5">
        <w:rPr>
          <w:rFonts w:ascii="Verdana" w:hAnsi="Verdana"/>
          <w:b/>
          <w:sz w:val="21"/>
          <w:szCs w:val="21"/>
        </w:rPr>
        <w:t xml:space="preserve">12 </w:t>
      </w:r>
      <w:r w:rsidRPr="004A34C5">
        <w:rPr>
          <w:rFonts w:ascii="Verdana" w:hAnsi="Verdana"/>
          <w:b/>
          <w:sz w:val="21"/>
          <w:szCs w:val="21"/>
        </w:rPr>
        <w:noBreakHyphen/>
        <w:t xml:space="preserve"> DA AUTORIZAÇÃO PARA FORNECIMENTO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>I</w:t>
      </w:r>
      <w:r w:rsidRPr="004A34C5">
        <w:rPr>
          <w:rFonts w:ascii="Verdana" w:hAnsi="Verdana"/>
          <w:b/>
          <w:sz w:val="21"/>
          <w:szCs w:val="21"/>
        </w:rPr>
        <w:t xml:space="preserve"> </w:t>
      </w:r>
      <w:r w:rsidRPr="004A34C5">
        <w:rPr>
          <w:rFonts w:ascii="Verdana" w:hAnsi="Verdana"/>
          <w:b/>
          <w:sz w:val="21"/>
          <w:szCs w:val="21"/>
        </w:rPr>
        <w:noBreakHyphen/>
      </w:r>
      <w:r w:rsidRPr="004A34C5">
        <w:rPr>
          <w:rFonts w:ascii="Verdana" w:hAnsi="Verdana"/>
          <w:sz w:val="21"/>
          <w:szCs w:val="21"/>
        </w:rPr>
        <w:t xml:space="preserve"> As aquisições do objeto da presente Ata de Registro de Preços serão autorizadas, caso a caso, pelo </w:t>
      </w:r>
      <w:proofErr w:type="spellStart"/>
      <w:r w:rsidRPr="004A34C5">
        <w:rPr>
          <w:rFonts w:ascii="Verdana" w:hAnsi="Verdana"/>
          <w:sz w:val="21"/>
          <w:szCs w:val="21"/>
        </w:rPr>
        <w:t>Secretario</w:t>
      </w:r>
      <w:proofErr w:type="spellEnd"/>
      <w:r w:rsidRPr="004A34C5">
        <w:rPr>
          <w:rFonts w:ascii="Verdana" w:hAnsi="Verdana"/>
          <w:sz w:val="21"/>
          <w:szCs w:val="21"/>
        </w:rPr>
        <w:t xml:space="preserve"> requisitante.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4A34C5">
        <w:rPr>
          <w:rFonts w:ascii="Verdana" w:hAnsi="Verdana"/>
          <w:b/>
          <w:color w:val="000000"/>
          <w:sz w:val="21"/>
          <w:szCs w:val="21"/>
        </w:rPr>
        <w:t xml:space="preserve">13- </w:t>
      </w:r>
      <w:r w:rsidRPr="004A34C5">
        <w:rPr>
          <w:rFonts w:ascii="Verdana" w:hAnsi="Verdana"/>
          <w:b/>
          <w:sz w:val="21"/>
          <w:szCs w:val="21"/>
        </w:rPr>
        <w:t>DAS DISPOSIÇÕES FINAIS</w:t>
      </w:r>
    </w:p>
    <w:p w:rsidR="00D76057" w:rsidRPr="004A34C5" w:rsidRDefault="00D76057" w:rsidP="00D7605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D76057" w:rsidRPr="004A34C5" w:rsidRDefault="00D76057" w:rsidP="00D7605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4A34C5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F273F3" w:rsidRPr="004A34C5">
        <w:rPr>
          <w:rFonts w:ascii="Verdana" w:hAnsi="Verdana" w:cs="Arial"/>
          <w:sz w:val="21"/>
          <w:szCs w:val="21"/>
        </w:rPr>
        <w:t>032/2019</w:t>
      </w:r>
      <w:r w:rsidRPr="004A34C5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D76057" w:rsidRPr="004A34C5" w:rsidRDefault="00D76057" w:rsidP="00D76057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>14.2. Fica eleito o foro desta Comarca de Pitangui/MG para dirimir quaisquer questões decorrentes da utilização da presente Ata.</w:t>
      </w:r>
    </w:p>
    <w:p w:rsidR="00D76057" w:rsidRPr="004A34C5" w:rsidRDefault="00D76057" w:rsidP="00D76057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4A34C5" w:rsidRDefault="00D76057" w:rsidP="00D76057">
      <w:pPr>
        <w:spacing w:line="200" w:lineRule="atLeast"/>
        <w:jc w:val="center"/>
        <w:rPr>
          <w:rFonts w:ascii="Verdana" w:hAnsi="Verdana"/>
          <w:sz w:val="21"/>
          <w:szCs w:val="21"/>
        </w:rPr>
      </w:pPr>
    </w:p>
    <w:p w:rsidR="004A34C5" w:rsidRPr="004A34C5" w:rsidRDefault="004A34C5" w:rsidP="004A34C5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4A34C5">
        <w:rPr>
          <w:rFonts w:ascii="Verdana" w:hAnsi="Verdana"/>
          <w:sz w:val="21"/>
          <w:szCs w:val="21"/>
        </w:rPr>
        <w:t xml:space="preserve">Papagaios, </w:t>
      </w:r>
      <w:r w:rsidRPr="004A34C5">
        <w:rPr>
          <w:rFonts w:ascii="Verdana" w:hAnsi="Verdana"/>
          <w:sz w:val="21"/>
          <w:szCs w:val="21"/>
        </w:rPr>
        <w:t>17 de junho de 2019</w:t>
      </w:r>
      <w:r w:rsidRPr="004A34C5">
        <w:rPr>
          <w:rFonts w:ascii="Verdana" w:hAnsi="Verdana"/>
          <w:sz w:val="21"/>
          <w:szCs w:val="21"/>
        </w:rPr>
        <w:t>.</w:t>
      </w:r>
    </w:p>
    <w:p w:rsidR="004A34C5" w:rsidRPr="004A34C5" w:rsidRDefault="004A34C5" w:rsidP="004A34C5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4A34C5" w:rsidRPr="004A34C5" w:rsidRDefault="004A34C5" w:rsidP="004A34C5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4A34C5" w:rsidRPr="004A34C5" w:rsidRDefault="004A34C5" w:rsidP="004A34C5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4A34C5" w:rsidRPr="004A34C5" w:rsidRDefault="004A34C5" w:rsidP="004A34C5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4A34C5" w:rsidRPr="004A34C5" w:rsidRDefault="004A34C5" w:rsidP="004A34C5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4A34C5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4A34C5" w:rsidRPr="004A34C5" w:rsidRDefault="004A34C5" w:rsidP="004A34C5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4A34C5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4A34C5">
        <w:rPr>
          <w:rFonts w:ascii="Verdana" w:hAnsi="Verdana" w:cs="Arial"/>
          <w:sz w:val="21"/>
          <w:szCs w:val="21"/>
        </w:rPr>
        <w:t>Filgueiras</w:t>
      </w:r>
      <w:proofErr w:type="spellEnd"/>
    </w:p>
    <w:p w:rsidR="004A34C5" w:rsidRPr="004A34C5" w:rsidRDefault="004A34C5" w:rsidP="004A34C5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4A34C5" w:rsidRPr="004A34C5" w:rsidRDefault="004A34C5" w:rsidP="004A34C5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4A34C5" w:rsidRPr="004A34C5" w:rsidRDefault="004A34C5" w:rsidP="004A34C5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4A34C5" w:rsidRPr="004A34C5" w:rsidRDefault="004A34C5" w:rsidP="004A34C5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proofErr w:type="spellStart"/>
      <w:r w:rsidRPr="004A34C5">
        <w:rPr>
          <w:rFonts w:ascii="Verdana" w:hAnsi="Verdana" w:cs="Arial"/>
          <w:sz w:val="21"/>
          <w:szCs w:val="21"/>
        </w:rPr>
        <w:t>Agas</w:t>
      </w:r>
      <w:proofErr w:type="spellEnd"/>
      <w:r w:rsidRPr="004A34C5">
        <w:rPr>
          <w:rFonts w:ascii="Verdana" w:hAnsi="Verdana" w:cs="Arial"/>
          <w:sz w:val="21"/>
          <w:szCs w:val="21"/>
        </w:rPr>
        <w:t xml:space="preserve"> Gases </w:t>
      </w:r>
      <w:proofErr w:type="spellStart"/>
      <w:r w:rsidRPr="004A34C5">
        <w:rPr>
          <w:rFonts w:ascii="Verdana" w:hAnsi="Verdana" w:cs="Arial"/>
          <w:sz w:val="21"/>
          <w:szCs w:val="21"/>
        </w:rPr>
        <w:t>Ltda</w:t>
      </w:r>
      <w:proofErr w:type="spellEnd"/>
      <w:r w:rsidRPr="004A34C5">
        <w:rPr>
          <w:rFonts w:ascii="Verdana" w:hAnsi="Verdana" w:cs="Arial"/>
          <w:sz w:val="21"/>
          <w:szCs w:val="21"/>
        </w:rPr>
        <w:t xml:space="preserve"> ME</w:t>
      </w:r>
    </w:p>
    <w:p w:rsidR="004A34C5" w:rsidRPr="004A34C5" w:rsidRDefault="004A34C5" w:rsidP="004A34C5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4A34C5">
        <w:rPr>
          <w:rFonts w:ascii="Verdana" w:hAnsi="Verdana" w:cs="Arial"/>
          <w:sz w:val="21"/>
          <w:szCs w:val="21"/>
        </w:rPr>
        <w:t>CNPJ/MF 04.680.175/0001-48</w:t>
      </w:r>
      <w:bookmarkStart w:id="0" w:name="_GoBack"/>
      <w:bookmarkEnd w:id="0"/>
    </w:p>
    <w:sectPr w:rsidR="004A34C5" w:rsidRPr="004A34C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5CC" w:rsidRDefault="006A25CC">
      <w:r>
        <w:separator/>
      </w:r>
    </w:p>
  </w:endnote>
  <w:endnote w:type="continuationSeparator" w:id="0">
    <w:p w:rsidR="006A25CC" w:rsidRDefault="006A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E3" w:rsidRDefault="00E83D4F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5CC" w:rsidRDefault="006A25CC">
      <w:r>
        <w:separator/>
      </w:r>
    </w:p>
  </w:footnote>
  <w:footnote w:type="continuationSeparator" w:id="0">
    <w:p w:rsidR="006A25CC" w:rsidRDefault="006A2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36B26"/>
    <w:rsid w:val="0005239B"/>
    <w:rsid w:val="0005728F"/>
    <w:rsid w:val="00066F03"/>
    <w:rsid w:val="00071E54"/>
    <w:rsid w:val="000770C1"/>
    <w:rsid w:val="00083DD1"/>
    <w:rsid w:val="0008701C"/>
    <w:rsid w:val="00095633"/>
    <w:rsid w:val="000F17F2"/>
    <w:rsid w:val="0010144B"/>
    <w:rsid w:val="00197546"/>
    <w:rsid w:val="001A15A9"/>
    <w:rsid w:val="001A5F93"/>
    <w:rsid w:val="001B5D1E"/>
    <w:rsid w:val="001C4FEF"/>
    <w:rsid w:val="001D454E"/>
    <w:rsid w:val="001D71B3"/>
    <w:rsid w:val="00200713"/>
    <w:rsid w:val="00210FD8"/>
    <w:rsid w:val="00247BEF"/>
    <w:rsid w:val="00251913"/>
    <w:rsid w:val="0027092D"/>
    <w:rsid w:val="002770C2"/>
    <w:rsid w:val="002A01B8"/>
    <w:rsid w:val="002C36F6"/>
    <w:rsid w:val="002C5D24"/>
    <w:rsid w:val="003102B1"/>
    <w:rsid w:val="003209D5"/>
    <w:rsid w:val="00321838"/>
    <w:rsid w:val="003243CA"/>
    <w:rsid w:val="003457EA"/>
    <w:rsid w:val="00346EE3"/>
    <w:rsid w:val="003557A2"/>
    <w:rsid w:val="00362B1D"/>
    <w:rsid w:val="0039711B"/>
    <w:rsid w:val="003B0F42"/>
    <w:rsid w:val="003B3691"/>
    <w:rsid w:val="003C6FC4"/>
    <w:rsid w:val="003D1005"/>
    <w:rsid w:val="003F46E8"/>
    <w:rsid w:val="003F55D1"/>
    <w:rsid w:val="004114C2"/>
    <w:rsid w:val="0043691C"/>
    <w:rsid w:val="004467F4"/>
    <w:rsid w:val="004526D9"/>
    <w:rsid w:val="004539B5"/>
    <w:rsid w:val="00460ED7"/>
    <w:rsid w:val="004725EA"/>
    <w:rsid w:val="00481259"/>
    <w:rsid w:val="0048259E"/>
    <w:rsid w:val="00492EAB"/>
    <w:rsid w:val="004A34C5"/>
    <w:rsid w:val="004D1AA9"/>
    <w:rsid w:val="004E220D"/>
    <w:rsid w:val="004E57DE"/>
    <w:rsid w:val="004E6A8A"/>
    <w:rsid w:val="004F10A0"/>
    <w:rsid w:val="004F42C4"/>
    <w:rsid w:val="004F7F5C"/>
    <w:rsid w:val="00500C13"/>
    <w:rsid w:val="005012C1"/>
    <w:rsid w:val="0052116A"/>
    <w:rsid w:val="00546C6A"/>
    <w:rsid w:val="0058363C"/>
    <w:rsid w:val="005937A6"/>
    <w:rsid w:val="005A0CC7"/>
    <w:rsid w:val="005A3440"/>
    <w:rsid w:val="005E4232"/>
    <w:rsid w:val="005F6A51"/>
    <w:rsid w:val="005F7E83"/>
    <w:rsid w:val="00614622"/>
    <w:rsid w:val="00647358"/>
    <w:rsid w:val="00656F20"/>
    <w:rsid w:val="0066409A"/>
    <w:rsid w:val="006709C5"/>
    <w:rsid w:val="00694DC5"/>
    <w:rsid w:val="006A06B2"/>
    <w:rsid w:val="006A25CC"/>
    <w:rsid w:val="006C3602"/>
    <w:rsid w:val="006E7153"/>
    <w:rsid w:val="006F2F8D"/>
    <w:rsid w:val="006F3CF2"/>
    <w:rsid w:val="006F7B8E"/>
    <w:rsid w:val="0072782B"/>
    <w:rsid w:val="0075147A"/>
    <w:rsid w:val="00765FCA"/>
    <w:rsid w:val="0077017E"/>
    <w:rsid w:val="00775080"/>
    <w:rsid w:val="00775184"/>
    <w:rsid w:val="00777A1B"/>
    <w:rsid w:val="00790E98"/>
    <w:rsid w:val="00796EC9"/>
    <w:rsid w:val="007E65F8"/>
    <w:rsid w:val="007E7333"/>
    <w:rsid w:val="008020A0"/>
    <w:rsid w:val="00804E05"/>
    <w:rsid w:val="0080701F"/>
    <w:rsid w:val="0081260F"/>
    <w:rsid w:val="00814F94"/>
    <w:rsid w:val="00823D9E"/>
    <w:rsid w:val="008763DC"/>
    <w:rsid w:val="00891BB4"/>
    <w:rsid w:val="008A4BCA"/>
    <w:rsid w:val="008D0BB3"/>
    <w:rsid w:val="008E594C"/>
    <w:rsid w:val="00934867"/>
    <w:rsid w:val="009538B1"/>
    <w:rsid w:val="009615FB"/>
    <w:rsid w:val="00980456"/>
    <w:rsid w:val="009B1C3D"/>
    <w:rsid w:val="00A15133"/>
    <w:rsid w:val="00A23322"/>
    <w:rsid w:val="00A309C3"/>
    <w:rsid w:val="00A31AC8"/>
    <w:rsid w:val="00A33EC6"/>
    <w:rsid w:val="00A61E0C"/>
    <w:rsid w:val="00A651AD"/>
    <w:rsid w:val="00A71E72"/>
    <w:rsid w:val="00A97D9D"/>
    <w:rsid w:val="00AC5047"/>
    <w:rsid w:val="00AD0F4F"/>
    <w:rsid w:val="00AD2662"/>
    <w:rsid w:val="00AE75DA"/>
    <w:rsid w:val="00B27EB9"/>
    <w:rsid w:val="00B31F28"/>
    <w:rsid w:val="00B328B9"/>
    <w:rsid w:val="00B8044B"/>
    <w:rsid w:val="00B92C88"/>
    <w:rsid w:val="00BA129C"/>
    <w:rsid w:val="00BA3FC8"/>
    <w:rsid w:val="00BA623F"/>
    <w:rsid w:val="00BB38E0"/>
    <w:rsid w:val="00BD06EE"/>
    <w:rsid w:val="00BE6399"/>
    <w:rsid w:val="00C31066"/>
    <w:rsid w:val="00C513D4"/>
    <w:rsid w:val="00C852D2"/>
    <w:rsid w:val="00CC1E9F"/>
    <w:rsid w:val="00CD091F"/>
    <w:rsid w:val="00CD19D5"/>
    <w:rsid w:val="00CE7F25"/>
    <w:rsid w:val="00D17C0D"/>
    <w:rsid w:val="00D3781D"/>
    <w:rsid w:val="00D76057"/>
    <w:rsid w:val="00DC18A7"/>
    <w:rsid w:val="00DE67DD"/>
    <w:rsid w:val="00DF46D5"/>
    <w:rsid w:val="00E048F2"/>
    <w:rsid w:val="00E32356"/>
    <w:rsid w:val="00E445E0"/>
    <w:rsid w:val="00E83D4F"/>
    <w:rsid w:val="00E96BEB"/>
    <w:rsid w:val="00E96C52"/>
    <w:rsid w:val="00EB2761"/>
    <w:rsid w:val="00EC3A43"/>
    <w:rsid w:val="00ED3617"/>
    <w:rsid w:val="00F04523"/>
    <w:rsid w:val="00F07077"/>
    <w:rsid w:val="00F1182B"/>
    <w:rsid w:val="00F255A0"/>
    <w:rsid w:val="00F273F3"/>
    <w:rsid w:val="00F858CD"/>
    <w:rsid w:val="00FC20C9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styleId="Hyperlink">
    <w:name w:val="Hyperlink"/>
    <w:uiPriority w:val="99"/>
    <w:semiHidden/>
    <w:rsid w:val="00D76057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D76057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1848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5</cp:revision>
  <cp:lastPrinted>2019-06-17T18:23:00Z</cp:lastPrinted>
  <dcterms:created xsi:type="dcterms:W3CDTF">2019-06-17T19:21:00Z</dcterms:created>
  <dcterms:modified xsi:type="dcterms:W3CDTF">2019-06-17T19:25:00Z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