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8952DC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8952DC">
        <w:rPr>
          <w:rFonts w:ascii="Verdana" w:hAnsi="Verdana"/>
          <w:b/>
          <w:sz w:val="22"/>
          <w:szCs w:val="22"/>
        </w:rPr>
        <w:t xml:space="preserve">PROCESSO LICITATÓRIO Nº </w:t>
      </w:r>
      <w:r w:rsidR="00964ADA" w:rsidRPr="008952DC">
        <w:rPr>
          <w:rFonts w:ascii="Verdana" w:hAnsi="Verdana"/>
          <w:b/>
          <w:sz w:val="22"/>
          <w:szCs w:val="22"/>
        </w:rPr>
        <w:t>043/2019</w:t>
      </w:r>
    </w:p>
    <w:p w:rsidR="00CF5B45" w:rsidRPr="008952DC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964ADA" w:rsidRPr="008952DC">
        <w:rPr>
          <w:rFonts w:ascii="Verdana" w:hAnsi="Verdana" w:cs="Arial"/>
          <w:b/>
          <w:sz w:val="22"/>
          <w:szCs w:val="22"/>
        </w:rPr>
        <w:t>026/2019</w:t>
      </w:r>
    </w:p>
    <w:p w:rsidR="00CF5B45" w:rsidRPr="008952DC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ATA DE REGISTRO DE PREÇOS Nº </w:t>
      </w:r>
      <w:r w:rsidR="00B0678C" w:rsidRPr="008952DC">
        <w:rPr>
          <w:rFonts w:ascii="Verdana" w:hAnsi="Verdana" w:cs="Arial"/>
          <w:sz w:val="22"/>
          <w:szCs w:val="22"/>
        </w:rPr>
        <w:t>054</w:t>
      </w:r>
      <w:r w:rsidR="002F43A2" w:rsidRPr="008952DC">
        <w:rPr>
          <w:rFonts w:ascii="Verdana" w:hAnsi="Verdana" w:cs="Arial"/>
          <w:sz w:val="22"/>
          <w:szCs w:val="22"/>
        </w:rPr>
        <w:t>/2018</w:t>
      </w:r>
      <w:r w:rsidRPr="008952DC">
        <w:rPr>
          <w:rFonts w:ascii="Verdana" w:hAnsi="Verdana" w:cs="Arial"/>
          <w:sz w:val="22"/>
          <w:szCs w:val="22"/>
        </w:rPr>
        <w:t>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PREGÃO Nº </w:t>
      </w:r>
      <w:r w:rsidR="00964ADA" w:rsidRPr="008952DC">
        <w:rPr>
          <w:rFonts w:ascii="Verdana" w:hAnsi="Verdana" w:cs="Arial"/>
          <w:sz w:val="22"/>
          <w:szCs w:val="22"/>
        </w:rPr>
        <w:t>026/2019</w:t>
      </w:r>
      <w:r w:rsidRPr="008952DC">
        <w:rPr>
          <w:rFonts w:ascii="Verdana" w:hAnsi="Verdana" w:cs="Arial"/>
          <w:sz w:val="22"/>
          <w:szCs w:val="22"/>
        </w:rPr>
        <w:t>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PROCESSO Nº </w:t>
      </w:r>
      <w:r w:rsidR="00964ADA" w:rsidRPr="008952DC">
        <w:rPr>
          <w:rFonts w:ascii="Verdana" w:hAnsi="Verdana" w:cs="Arial"/>
          <w:sz w:val="22"/>
          <w:szCs w:val="22"/>
        </w:rPr>
        <w:t>043/2019</w:t>
      </w:r>
      <w:r w:rsidRPr="008952DC">
        <w:rPr>
          <w:rFonts w:ascii="Verdana" w:hAnsi="Verdana" w:cs="Arial"/>
          <w:sz w:val="22"/>
          <w:szCs w:val="22"/>
        </w:rPr>
        <w:t>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VALIDADE: 12 meses.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</w:rPr>
        <w:t>Aos</w:t>
      </w:r>
      <w:r w:rsidR="00077EAC" w:rsidRPr="008952DC">
        <w:rPr>
          <w:rFonts w:ascii="Verdana" w:hAnsi="Verdana" w:cs="Arial"/>
          <w:szCs w:val="22"/>
          <w:lang w:val="pt-BR"/>
        </w:rPr>
        <w:t xml:space="preserve"> 03 (três</w:t>
      </w:r>
      <w:r w:rsidRPr="008952DC">
        <w:rPr>
          <w:rFonts w:ascii="Verdana" w:hAnsi="Verdana" w:cs="Arial"/>
          <w:szCs w:val="22"/>
        </w:rPr>
        <w:t xml:space="preserve">) dias do mês de </w:t>
      </w:r>
      <w:r w:rsidR="00077EAC" w:rsidRPr="008952DC">
        <w:rPr>
          <w:rFonts w:ascii="Verdana" w:hAnsi="Verdana" w:cs="Arial"/>
          <w:szCs w:val="22"/>
          <w:lang w:val="pt-BR"/>
        </w:rPr>
        <w:t>maio de 2019</w:t>
      </w:r>
      <w:r w:rsidRPr="008952DC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077EAC" w:rsidRPr="008952DC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8952DC">
        <w:rPr>
          <w:rFonts w:ascii="Verdana" w:hAnsi="Verdana" w:cs="Arial"/>
          <w:szCs w:val="22"/>
        </w:rPr>
        <w:t>, o Exm</w:t>
      </w:r>
      <w:r w:rsidR="00077EAC" w:rsidRPr="008952DC">
        <w:rPr>
          <w:rFonts w:ascii="Verdana" w:hAnsi="Verdana" w:cs="Arial"/>
          <w:szCs w:val="22"/>
        </w:rPr>
        <w:t>o. Sr. Prefeito Municipal, Sr. M</w:t>
      </w:r>
      <w:r w:rsidR="00077EAC" w:rsidRPr="008952DC">
        <w:rPr>
          <w:rFonts w:ascii="Verdana" w:hAnsi="Verdana" w:cs="Arial"/>
          <w:szCs w:val="22"/>
          <w:lang w:val="pt-BR"/>
        </w:rPr>
        <w:t xml:space="preserve">ário Reis </w:t>
      </w:r>
      <w:proofErr w:type="spellStart"/>
      <w:r w:rsidR="00077EAC" w:rsidRPr="008952DC">
        <w:rPr>
          <w:rFonts w:ascii="Verdana" w:hAnsi="Verdana" w:cs="Arial"/>
          <w:szCs w:val="22"/>
          <w:lang w:val="pt-BR"/>
        </w:rPr>
        <w:t>Filgueiras</w:t>
      </w:r>
      <w:proofErr w:type="spellEnd"/>
      <w:r w:rsidRPr="008952DC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64ADA" w:rsidRPr="008952DC">
        <w:rPr>
          <w:rFonts w:ascii="Verdana" w:hAnsi="Verdana" w:cs="Arial"/>
          <w:szCs w:val="22"/>
        </w:rPr>
        <w:t>026/2019</w:t>
      </w:r>
      <w:r w:rsidRPr="008952DC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964ADA" w:rsidRPr="008952DC">
        <w:rPr>
          <w:rFonts w:ascii="Verdana" w:hAnsi="Verdana" w:cs="Arial"/>
          <w:szCs w:val="22"/>
        </w:rPr>
        <w:t>043/2019</w:t>
      </w:r>
      <w:r w:rsidRPr="008952DC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1F6B14" w:rsidRPr="008952DC">
        <w:rPr>
          <w:rFonts w:ascii="Verdana" w:hAnsi="Verdana" w:cs="Arial"/>
          <w:b/>
          <w:szCs w:val="22"/>
          <w:lang w:val="pt-BR"/>
        </w:rPr>
        <w:t>SAGA MEDIÇÃO LTDA</w:t>
      </w:r>
      <w:r w:rsidRPr="008952DC">
        <w:rPr>
          <w:rFonts w:ascii="Verdana" w:hAnsi="Verdana" w:cs="Arial"/>
          <w:szCs w:val="22"/>
        </w:rPr>
        <w:t xml:space="preserve">, localizado na </w:t>
      </w:r>
      <w:r w:rsidR="001F6B14" w:rsidRPr="008952DC">
        <w:rPr>
          <w:rFonts w:ascii="Verdana" w:hAnsi="Verdana" w:cs="Arial"/>
          <w:szCs w:val="22"/>
          <w:lang w:val="pt-BR"/>
        </w:rPr>
        <w:t>Rodovia BR 135, nº. 364, bairro Maria Rosa, Bocaiúva/MG, CEP 39.390-000</w:t>
      </w:r>
      <w:r w:rsidRPr="008952DC">
        <w:rPr>
          <w:rFonts w:ascii="Verdana" w:hAnsi="Verdana" w:cs="Arial"/>
          <w:szCs w:val="22"/>
        </w:rPr>
        <w:t xml:space="preserve">, cujo CNPJ é </w:t>
      </w:r>
      <w:r w:rsidR="001F6B14" w:rsidRPr="008952DC">
        <w:rPr>
          <w:rFonts w:ascii="Verdana" w:hAnsi="Verdana" w:cs="Arial"/>
          <w:szCs w:val="22"/>
          <w:lang w:val="pt-BR"/>
        </w:rPr>
        <w:t>08.026.075/0001-53</w:t>
      </w:r>
      <w:r w:rsidRPr="008952DC">
        <w:rPr>
          <w:rFonts w:ascii="Verdana" w:hAnsi="Verdana" w:cs="Arial"/>
          <w:szCs w:val="22"/>
        </w:rPr>
        <w:t xml:space="preserve">, neste ato representado por </w:t>
      </w:r>
      <w:r w:rsidR="001F6B14" w:rsidRPr="008952DC">
        <w:rPr>
          <w:rFonts w:ascii="Verdana" w:hAnsi="Verdana" w:cs="Arial"/>
          <w:szCs w:val="22"/>
          <w:lang w:val="pt-BR"/>
        </w:rPr>
        <w:t>Ricardo Cássio Noronha Ferreira, inscrito no CPF/MF sob o nº. 851.297.716-72</w:t>
      </w:r>
      <w:r w:rsidRPr="008952DC">
        <w:rPr>
          <w:rFonts w:ascii="Verdana" w:hAnsi="Verdana" w:cs="Arial"/>
          <w:szCs w:val="22"/>
        </w:rPr>
        <w:t>, conforme quadro abaixo:</w:t>
      </w:r>
    </w:p>
    <w:p w:rsidR="00CF5B45" w:rsidRPr="008952DC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79"/>
        <w:gridCol w:w="1053"/>
        <w:gridCol w:w="1040"/>
        <w:gridCol w:w="1119"/>
        <w:gridCol w:w="1101"/>
        <w:gridCol w:w="1099"/>
        <w:gridCol w:w="886"/>
        <w:gridCol w:w="1100"/>
      </w:tblGrid>
      <w:tr w:rsidR="00C24399" w:rsidRPr="00C24399" w:rsidTr="00C24399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398" w:type="dxa"/>
            <w:gridSpan w:val="7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C24399" w:rsidRPr="00C24399" w:rsidTr="00C24399">
        <w:trPr>
          <w:trHeight w:val="20"/>
        </w:trPr>
        <w:tc>
          <w:tcPr>
            <w:tcW w:w="570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2" w:type="dxa"/>
            <w:gridSpan w:val="3"/>
            <w:shd w:val="clear" w:color="000000" w:fill="BFBFB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200" w:type="dxa"/>
            <w:gridSpan w:val="2"/>
            <w:shd w:val="clear" w:color="000000" w:fill="BFBFB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1986" w:type="dxa"/>
            <w:gridSpan w:val="2"/>
            <w:shd w:val="clear" w:color="000000" w:fill="BFBFB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C24399" w:rsidRPr="00C24399" w:rsidTr="00C24399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1101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</w:tr>
      <w:tr w:rsidR="00C24399" w:rsidRPr="00C24399" w:rsidTr="00C24399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24399" w:rsidRPr="00C24399" w:rsidRDefault="00C24399" w:rsidP="00C24399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C24399" w:rsidRPr="00C24399" w:rsidTr="00C24399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Hidrômetro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Woltmann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horizontal DN 2"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15,0 m3/h conforme ISO 14005 Diâmetro nominal: 50 mm (2"); Comprimento: 200 mm; Vazão nominal: 15,0 m3/h Vazão máxima: 30,0 m3/h; Vazão de transição: 3000 l/h; Vazão mínima: 450 l/h; Classe metrológica: B; Pressão máxima de trabalho: 16 bar; Temperatura máxima admissível: 40º C;  Relojoaria tipo seca, hermeticamente selada, plana, com sensor de saída para telemetria, transmissão magnética, com </w:t>
            </w: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fechamento plástico e cúpula em vidro, giratória, sem a necessidade de uso de ferramentas, com ou sem limitador de fim de curso, com logotipo do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saae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na relojoaria; Pintura epóxi na cor azul, interna e externa, resistente às diversas formas de corrosão causada pela agua e intempéries do ambiente, devendo apresentar resistência mecânica e química adequada à sua utilização e inalteradas pelas variações de temperatura e pressões de serviço.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1.000,0000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50.000,00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50.000,00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250.000,00</w:t>
            </w:r>
          </w:p>
        </w:tc>
      </w:tr>
      <w:tr w:rsidR="00C24399" w:rsidRPr="00C24399" w:rsidTr="00C24399">
        <w:trPr>
          <w:trHeight w:val="2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24399" w:rsidRPr="00C24399" w:rsidRDefault="00C24399" w:rsidP="00C24399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Hidrômetro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Woltmann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horizontal DN 3"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40,0 m3/h conforme ISO 14005 Diâmetro nominal: 80 mm (3"); Comprimento: 225 mm; Vazão nominal: 40,0 m3/h Vazão máxima: 80,0 m3/h; Vazão de transição: 8000 l/h; Vazão mínima: 1200 l/h; Classe metrológica: B; Pressão máxima de trabalho: 16 bar; Temperatura máxima admissível: 40º C; Relojoaria tipo seca, hermeticamente selada, plana, com sensor de saída para telemetria, transmissão magnética, com fechamento plástico e cúpula em vidro, giratória, sem a necessidade de uso de ferramentas, com ou sem limitador de fim de curso, com logotipo do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saae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na relojoaria; Pintura epóxi na cor azul, interna e externa, resistente às diversas formas de corrosão causada pela agua e intempéries do ambiente, devendo apresentar resistência mecânica e química adequada à </w:t>
            </w: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sua utilização e inalteradas pelas variações de temperatura e pressões de serviço.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1.300,0000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65.000,00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65.000,00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325.000,00</w:t>
            </w:r>
          </w:p>
        </w:tc>
      </w:tr>
      <w:tr w:rsidR="00C24399" w:rsidRPr="00C24399" w:rsidTr="00C24399">
        <w:trPr>
          <w:trHeight w:val="2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24399" w:rsidRPr="00C24399" w:rsidRDefault="00C24399" w:rsidP="00C24399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Hidrômetro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Woltmann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horizontal DN 4"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Qn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60,0 m3/h conforme ISO 14005 Diâmetro nominal: 100 mm (4"); Comprimento: 250 mm; Vazão nominal: 60,0 m3/h Vazão máxima: 120,0 m3/h; Vazão de transição: 12000 l/h; Vazão mínima: 1800 l/h; Classe metrológica: B; Pressão máxima de trabalho: 16 bar; Temperatura máxima admissível: 40º C; Relojoaria tipo seca, hermeticamente selada, plana, com sensor de saída para telemetria, transmissão magnética, com fechamento plástico e cúpula em vidro, giratória, sem a necessidade de uso de ferramentas, com ou sem limitador de fim de curso, com logotipo do </w:t>
            </w:r>
            <w:proofErr w:type="spellStart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saae</w:t>
            </w:r>
            <w:proofErr w:type="spellEnd"/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na relojoaria; Pintura epóxi na cor azul, interna e externa, resistente às diversas formas de corrosão causada pela agua e intempéries do ambiente, devendo apresentar resistência mecânica e química adequada à sua utilização e inalteradas pelas variações de temperatura e pressões de serviço.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    1.600,0000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           8.000,00 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           8.000,00 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C24399" w:rsidRPr="00C24399" w:rsidRDefault="00C24399" w:rsidP="00C24399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24399">
              <w:rPr>
                <w:rFonts w:ascii="Verdana" w:hAnsi="Verdana"/>
                <w:color w:val="000000"/>
                <w:sz w:val="15"/>
                <w:szCs w:val="15"/>
              </w:rPr>
              <w:t xml:space="preserve">         40.000,00 </w:t>
            </w:r>
          </w:p>
        </w:tc>
      </w:tr>
    </w:tbl>
    <w:p w:rsidR="00CF5B45" w:rsidRPr="008952DC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Pr="008952DC" w:rsidRDefault="00CF5B45" w:rsidP="00671B23">
      <w:pPr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01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8952DC" w:rsidRDefault="00CF5B45" w:rsidP="00671B23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671B23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8952DC">
        <w:rPr>
          <w:rFonts w:ascii="Verdana" w:hAnsi="Verdana"/>
          <w:sz w:val="22"/>
          <w:szCs w:val="22"/>
        </w:rPr>
        <w:t xml:space="preserve">I </w:t>
      </w:r>
      <w:r w:rsidRPr="008952DC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8952DC" w:rsidRDefault="00CF5B45" w:rsidP="00671B23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671B23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02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8952DC" w:rsidRDefault="00CF5B45" w:rsidP="00671B23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671B23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03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8952DC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04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64ADA" w:rsidRPr="008952DC">
        <w:rPr>
          <w:rFonts w:ascii="Verdana" w:hAnsi="Verdana" w:cs="Arial"/>
          <w:sz w:val="22"/>
          <w:szCs w:val="22"/>
        </w:rPr>
        <w:t>026/2019</w:t>
      </w:r>
      <w:r w:rsidRPr="008952DC">
        <w:rPr>
          <w:rFonts w:ascii="Verdana" w:hAnsi="Verdana" w:cs="Arial"/>
          <w:sz w:val="22"/>
          <w:szCs w:val="22"/>
        </w:rPr>
        <w:t>.</w:t>
      </w:r>
    </w:p>
    <w:p w:rsidR="00CF5B45" w:rsidRPr="008952DC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64ADA" w:rsidRPr="008952DC">
        <w:rPr>
          <w:rFonts w:ascii="Verdana" w:hAnsi="Verdana" w:cs="Arial"/>
          <w:sz w:val="22"/>
          <w:szCs w:val="22"/>
        </w:rPr>
        <w:t>026/2019</w:t>
      </w:r>
      <w:r w:rsidRPr="008952D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8952DC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964ADA" w:rsidRPr="008952DC">
        <w:rPr>
          <w:rFonts w:ascii="Verdana" w:hAnsi="Verdana" w:cs="Arial"/>
          <w:sz w:val="22"/>
          <w:szCs w:val="22"/>
        </w:rPr>
        <w:t>026/2019</w:t>
      </w:r>
      <w:r w:rsidRPr="008952D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8952DC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05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06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8952DC">
        <w:rPr>
          <w:rFonts w:ascii="Verdana" w:hAnsi="Verdana" w:cs="Arial"/>
          <w:sz w:val="22"/>
          <w:szCs w:val="22"/>
        </w:rPr>
        <w:lastRenderedPageBreak/>
        <w:t xml:space="preserve">Fazenda, </w:t>
      </w:r>
      <w:r w:rsidRPr="008952D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8952DC">
        <w:rPr>
          <w:rFonts w:ascii="Verdana" w:hAnsi="Verdana" w:cs="Arial"/>
          <w:sz w:val="22"/>
          <w:szCs w:val="22"/>
        </w:rPr>
        <w:t>definitivo pela unidade requisitante</w:t>
      </w:r>
      <w:r w:rsidRPr="008952DC">
        <w:rPr>
          <w:rFonts w:ascii="Verdana" w:hAnsi="Verdana" w:cs="Arial"/>
          <w:bCs/>
          <w:sz w:val="22"/>
          <w:szCs w:val="22"/>
        </w:rPr>
        <w:t xml:space="preserve"> do objeto, </w:t>
      </w:r>
      <w:r w:rsidRPr="008952DC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07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8952DC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IV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V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lastRenderedPageBreak/>
        <w:t xml:space="preserve">VI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VII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08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952DC">
        <w:rPr>
          <w:rFonts w:ascii="Verdana" w:hAnsi="Verdana" w:cs="Arial"/>
          <w:sz w:val="22"/>
          <w:szCs w:val="22"/>
        </w:rPr>
        <w:t>á</w:t>
      </w:r>
      <w:proofErr w:type="spellEnd"/>
      <w:r w:rsidRPr="008952DC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/>
          <w:sz w:val="22"/>
          <w:szCs w:val="22"/>
        </w:rPr>
        <w:t>a)</w:t>
      </w:r>
      <w:r w:rsidRPr="008952DC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8952DC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8952DC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8952DC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8952DC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8952DC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>d)</w:t>
      </w:r>
      <w:r w:rsidRPr="008952DC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>d.1)</w:t>
      </w:r>
      <w:r w:rsidRPr="008952DC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>d.2</w:t>
      </w:r>
      <w:r w:rsidRPr="008952DC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>d.3</w:t>
      </w:r>
      <w:r w:rsidRPr="008952DC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>d.4</w:t>
      </w:r>
      <w:r w:rsidRPr="008952DC">
        <w:rPr>
          <w:rFonts w:ascii="Verdana" w:hAnsi="Verdana" w:cs="Arial"/>
          <w:szCs w:val="22"/>
        </w:rPr>
        <w:t>) descumprimento de cláusula contratual.</w:t>
      </w:r>
    </w:p>
    <w:p w:rsidR="00CF5B45" w:rsidRPr="008952DC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III - </w:t>
      </w:r>
      <w:r w:rsidRPr="008952DC">
        <w:rPr>
          <w:rFonts w:ascii="Verdana" w:hAnsi="Verdana" w:cs="Arial"/>
          <w:bCs/>
          <w:sz w:val="22"/>
          <w:szCs w:val="22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</w:t>
      </w:r>
      <w:r w:rsidRPr="008952DC">
        <w:rPr>
          <w:rFonts w:ascii="Verdana" w:hAnsi="Verdana" w:cs="Arial"/>
          <w:bCs/>
          <w:sz w:val="22"/>
          <w:szCs w:val="22"/>
        </w:rPr>
        <w:lastRenderedPageBreak/>
        <w:t>promovida a reabilitação perante a própria autoridade que aplicou a penalidade.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8952DC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  <w:lang w:val="pt-BR"/>
        </w:rPr>
        <w:t xml:space="preserve">V - </w:t>
      </w:r>
      <w:r w:rsidRPr="008952DC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09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64ADA" w:rsidRPr="008952DC">
        <w:rPr>
          <w:rFonts w:ascii="Verdana" w:hAnsi="Verdana" w:cs="Arial"/>
          <w:sz w:val="22"/>
          <w:szCs w:val="22"/>
        </w:rPr>
        <w:t>026/2019</w:t>
      </w:r>
      <w:r w:rsidRPr="008952DC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10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8952DC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11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I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8952DC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A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8952DC">
        <w:rPr>
          <w:rFonts w:ascii="Verdana" w:hAnsi="Verdana" w:cs="Arial"/>
          <w:sz w:val="22"/>
          <w:szCs w:val="22"/>
        </w:rPr>
        <w:t>a</w:t>
      </w:r>
      <w:proofErr w:type="spellEnd"/>
      <w:r w:rsidRPr="008952D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B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C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D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8952DC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E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F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8952DC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8952DC">
        <w:rPr>
          <w:rFonts w:ascii="Verdana" w:hAnsi="Verdana"/>
          <w:sz w:val="22"/>
          <w:szCs w:val="22"/>
        </w:rPr>
        <w:t xml:space="preserve">G </w:t>
      </w:r>
      <w:r w:rsidRPr="008952DC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8952DC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>Pelas detentoras, quando</w:t>
      </w:r>
      <w:r w:rsidRPr="008952D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8952DC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A </w:t>
      </w:r>
      <w:r w:rsidRPr="008952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8952DC">
        <w:rPr>
          <w:rFonts w:ascii="Verdana" w:hAnsi="Verdana" w:cs="Arial"/>
          <w:sz w:val="22"/>
          <w:szCs w:val="22"/>
        </w:rPr>
        <w:t>a</w:t>
      </w:r>
      <w:proofErr w:type="spellEnd"/>
      <w:r w:rsidRPr="008952DC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8952DC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8952DC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 xml:space="preserve">12 </w:t>
      </w:r>
      <w:r w:rsidRPr="008952DC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8952DC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I</w:t>
      </w:r>
      <w:r w:rsidRPr="008952DC">
        <w:rPr>
          <w:rFonts w:ascii="Verdana" w:hAnsi="Verdana" w:cs="Arial"/>
          <w:b/>
          <w:sz w:val="22"/>
          <w:szCs w:val="22"/>
        </w:rPr>
        <w:t xml:space="preserve"> </w:t>
      </w:r>
      <w:r w:rsidRPr="008952DC">
        <w:rPr>
          <w:rFonts w:ascii="Verdana" w:hAnsi="Verdana" w:cs="Arial"/>
          <w:b/>
          <w:sz w:val="22"/>
          <w:szCs w:val="22"/>
        </w:rPr>
        <w:noBreakHyphen/>
      </w:r>
      <w:r w:rsidRPr="008952D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8952DC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8952DC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</w:rPr>
        <w:t xml:space="preserve">14.1. Integram esta Ata, o edital do Pregão nº </w:t>
      </w:r>
      <w:r w:rsidR="00964ADA" w:rsidRPr="008952DC">
        <w:rPr>
          <w:rFonts w:ascii="Verdana" w:hAnsi="Verdana" w:cs="Arial"/>
          <w:szCs w:val="22"/>
        </w:rPr>
        <w:t>026/2019</w:t>
      </w:r>
      <w:r w:rsidRPr="008952DC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8952DC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8952DC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Pr="008952DC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8952DC">
        <w:rPr>
          <w:rFonts w:ascii="Verdana" w:hAnsi="Verdana" w:cs="Arial"/>
          <w:sz w:val="22"/>
          <w:szCs w:val="22"/>
        </w:rPr>
        <w:t xml:space="preserve">Papagaios, </w:t>
      </w:r>
      <w:r w:rsidR="00C24399">
        <w:rPr>
          <w:rFonts w:ascii="Verdana" w:hAnsi="Verdana" w:cs="Arial"/>
          <w:sz w:val="22"/>
          <w:szCs w:val="22"/>
        </w:rPr>
        <w:t>03 de maio de 2019</w:t>
      </w: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8952DC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8952DC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</w:rPr>
        <w:t xml:space="preserve">Município de Papagaios/MG  </w:t>
      </w:r>
    </w:p>
    <w:p w:rsidR="00CF5B45" w:rsidRPr="008952DC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8952DC">
        <w:rPr>
          <w:rFonts w:ascii="Verdana" w:hAnsi="Verdana" w:cs="Arial"/>
          <w:szCs w:val="22"/>
        </w:rPr>
        <w:t xml:space="preserve">Mário Reis </w:t>
      </w:r>
      <w:proofErr w:type="spellStart"/>
      <w:r w:rsidRPr="008952DC">
        <w:rPr>
          <w:rFonts w:ascii="Verdana" w:hAnsi="Verdana" w:cs="Arial"/>
          <w:szCs w:val="22"/>
        </w:rPr>
        <w:t>Filgueiras</w:t>
      </w:r>
      <w:proofErr w:type="spellEnd"/>
    </w:p>
    <w:p w:rsidR="00CF5B45" w:rsidRPr="008952DC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8952DC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8952DC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3F7B7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Saga Medição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</w:p>
    <w:p w:rsidR="003F7B76" w:rsidRPr="003F7B76" w:rsidRDefault="003F7B7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08.026.075/0001-53</w:t>
      </w:r>
      <w:bookmarkStart w:id="0" w:name="_GoBack"/>
      <w:bookmarkEnd w:id="0"/>
    </w:p>
    <w:sectPr w:rsidR="003F7B76" w:rsidRPr="003F7B7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22" w:rsidRDefault="00636522" w:rsidP="00E00126">
      <w:r>
        <w:separator/>
      </w:r>
    </w:p>
  </w:endnote>
  <w:endnote w:type="continuationSeparator" w:id="0">
    <w:p w:rsidR="00636522" w:rsidRDefault="0063652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22" w:rsidRDefault="00636522" w:rsidP="00E00126">
      <w:r>
        <w:separator/>
      </w:r>
    </w:p>
  </w:footnote>
  <w:footnote w:type="continuationSeparator" w:id="0">
    <w:p w:rsidR="00636522" w:rsidRDefault="0063652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F5A6A" w:rsidTr="00E33182">
      <w:trPr>
        <w:trHeight w:val="781"/>
      </w:trPr>
      <w:tc>
        <w:tcPr>
          <w:tcW w:w="2127" w:type="dxa"/>
          <w:vMerge w:val="restart"/>
          <w:vAlign w:val="center"/>
        </w:tcPr>
        <w:p w:rsidR="003F5A6A" w:rsidRDefault="003F5A6A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F5A6A" w:rsidRPr="000015CB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F5A6A" w:rsidTr="000015CB">
      <w:trPr>
        <w:trHeight w:val="785"/>
      </w:trPr>
      <w:tc>
        <w:tcPr>
          <w:tcW w:w="2127" w:type="dxa"/>
          <w:vMerge/>
        </w:tcPr>
        <w:p w:rsidR="003F5A6A" w:rsidRDefault="003F5A6A">
          <w:pPr>
            <w:pStyle w:val="Cabealho"/>
          </w:pPr>
        </w:p>
      </w:tc>
      <w:tc>
        <w:tcPr>
          <w:tcW w:w="8930" w:type="dxa"/>
        </w:tcPr>
        <w:p w:rsidR="003F5A6A" w:rsidRPr="002936D7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F5A6A" w:rsidRDefault="003F5A6A">
    <w:pPr>
      <w:pStyle w:val="Cabealho"/>
    </w:pPr>
  </w:p>
  <w:p w:rsidR="003F5A6A" w:rsidRDefault="003F5A6A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29A7"/>
    <w:rsid w:val="0001715B"/>
    <w:rsid w:val="0002406D"/>
    <w:rsid w:val="000271B3"/>
    <w:rsid w:val="000445DE"/>
    <w:rsid w:val="00057494"/>
    <w:rsid w:val="000660BE"/>
    <w:rsid w:val="00077E56"/>
    <w:rsid w:val="00077EAC"/>
    <w:rsid w:val="00086BE7"/>
    <w:rsid w:val="00087AFA"/>
    <w:rsid w:val="000951FF"/>
    <w:rsid w:val="000A3062"/>
    <w:rsid w:val="000A4472"/>
    <w:rsid w:val="000B0023"/>
    <w:rsid w:val="000B07D9"/>
    <w:rsid w:val="000C53C9"/>
    <w:rsid w:val="000C7A25"/>
    <w:rsid w:val="000D0558"/>
    <w:rsid w:val="000D091C"/>
    <w:rsid w:val="000E4B0A"/>
    <w:rsid w:val="000E67A7"/>
    <w:rsid w:val="000E7423"/>
    <w:rsid w:val="000F07E4"/>
    <w:rsid w:val="000F5C38"/>
    <w:rsid w:val="000F7A1F"/>
    <w:rsid w:val="00103986"/>
    <w:rsid w:val="0011035F"/>
    <w:rsid w:val="00113908"/>
    <w:rsid w:val="00116696"/>
    <w:rsid w:val="00123E75"/>
    <w:rsid w:val="00134BDF"/>
    <w:rsid w:val="00153A81"/>
    <w:rsid w:val="00153F96"/>
    <w:rsid w:val="00154AC8"/>
    <w:rsid w:val="00162607"/>
    <w:rsid w:val="00170677"/>
    <w:rsid w:val="001831D6"/>
    <w:rsid w:val="00183FC8"/>
    <w:rsid w:val="001924F0"/>
    <w:rsid w:val="001A5450"/>
    <w:rsid w:val="001B6ECC"/>
    <w:rsid w:val="001C6C97"/>
    <w:rsid w:val="001D3647"/>
    <w:rsid w:val="001D5CBE"/>
    <w:rsid w:val="001F0C8B"/>
    <w:rsid w:val="001F1AD7"/>
    <w:rsid w:val="001F41DE"/>
    <w:rsid w:val="001F5069"/>
    <w:rsid w:val="001F6B14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C0921"/>
    <w:rsid w:val="002E07D2"/>
    <w:rsid w:val="002F02DD"/>
    <w:rsid w:val="002F43A2"/>
    <w:rsid w:val="002F68A3"/>
    <w:rsid w:val="00314706"/>
    <w:rsid w:val="00347F93"/>
    <w:rsid w:val="003531D5"/>
    <w:rsid w:val="00362920"/>
    <w:rsid w:val="0036583E"/>
    <w:rsid w:val="00371BF9"/>
    <w:rsid w:val="0037349A"/>
    <w:rsid w:val="00394A80"/>
    <w:rsid w:val="00396FD3"/>
    <w:rsid w:val="003B0ED8"/>
    <w:rsid w:val="003B3096"/>
    <w:rsid w:val="003D77AB"/>
    <w:rsid w:val="003F5A6A"/>
    <w:rsid w:val="003F7B76"/>
    <w:rsid w:val="00422337"/>
    <w:rsid w:val="004343F4"/>
    <w:rsid w:val="00436B88"/>
    <w:rsid w:val="00445AC6"/>
    <w:rsid w:val="00452FBE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E3D54"/>
    <w:rsid w:val="004F1265"/>
    <w:rsid w:val="00505063"/>
    <w:rsid w:val="0050557D"/>
    <w:rsid w:val="00515564"/>
    <w:rsid w:val="00516BD9"/>
    <w:rsid w:val="00533B87"/>
    <w:rsid w:val="0053585E"/>
    <w:rsid w:val="00546E98"/>
    <w:rsid w:val="00554734"/>
    <w:rsid w:val="00566730"/>
    <w:rsid w:val="00590636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36522"/>
    <w:rsid w:val="00664287"/>
    <w:rsid w:val="006670AD"/>
    <w:rsid w:val="00671B23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859C4"/>
    <w:rsid w:val="007922BB"/>
    <w:rsid w:val="00795CBD"/>
    <w:rsid w:val="007A228F"/>
    <w:rsid w:val="007A3868"/>
    <w:rsid w:val="007B2225"/>
    <w:rsid w:val="007B6E8A"/>
    <w:rsid w:val="007C1466"/>
    <w:rsid w:val="007D1C03"/>
    <w:rsid w:val="007D2715"/>
    <w:rsid w:val="007D4E89"/>
    <w:rsid w:val="007D5FAC"/>
    <w:rsid w:val="00805ED7"/>
    <w:rsid w:val="00807EF3"/>
    <w:rsid w:val="00814F97"/>
    <w:rsid w:val="008204B1"/>
    <w:rsid w:val="00820821"/>
    <w:rsid w:val="00830FCD"/>
    <w:rsid w:val="008352E4"/>
    <w:rsid w:val="00836741"/>
    <w:rsid w:val="0084267D"/>
    <w:rsid w:val="00844842"/>
    <w:rsid w:val="008474B6"/>
    <w:rsid w:val="0085164B"/>
    <w:rsid w:val="00855120"/>
    <w:rsid w:val="008556F6"/>
    <w:rsid w:val="00860E2F"/>
    <w:rsid w:val="00884808"/>
    <w:rsid w:val="008952DC"/>
    <w:rsid w:val="008A0DB1"/>
    <w:rsid w:val="008A1D35"/>
    <w:rsid w:val="008A3628"/>
    <w:rsid w:val="008E004D"/>
    <w:rsid w:val="008F65DA"/>
    <w:rsid w:val="00916079"/>
    <w:rsid w:val="009246DC"/>
    <w:rsid w:val="00932C1E"/>
    <w:rsid w:val="00934A13"/>
    <w:rsid w:val="009373AF"/>
    <w:rsid w:val="00943CAD"/>
    <w:rsid w:val="009571BD"/>
    <w:rsid w:val="009601B6"/>
    <w:rsid w:val="0096453D"/>
    <w:rsid w:val="00964ADA"/>
    <w:rsid w:val="00965451"/>
    <w:rsid w:val="0097482B"/>
    <w:rsid w:val="00981756"/>
    <w:rsid w:val="009877CF"/>
    <w:rsid w:val="00997D49"/>
    <w:rsid w:val="009B04BB"/>
    <w:rsid w:val="009C7386"/>
    <w:rsid w:val="009D1F3E"/>
    <w:rsid w:val="009D36CA"/>
    <w:rsid w:val="009D73CE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0EE9"/>
    <w:rsid w:val="00A823D6"/>
    <w:rsid w:val="00A832D4"/>
    <w:rsid w:val="00A85A7B"/>
    <w:rsid w:val="00AA217E"/>
    <w:rsid w:val="00AA253F"/>
    <w:rsid w:val="00AB224A"/>
    <w:rsid w:val="00B0678C"/>
    <w:rsid w:val="00B132FF"/>
    <w:rsid w:val="00B32DC3"/>
    <w:rsid w:val="00B412C8"/>
    <w:rsid w:val="00B507A5"/>
    <w:rsid w:val="00B52D52"/>
    <w:rsid w:val="00B53D45"/>
    <w:rsid w:val="00B6662D"/>
    <w:rsid w:val="00B834CD"/>
    <w:rsid w:val="00B873E7"/>
    <w:rsid w:val="00B90C32"/>
    <w:rsid w:val="00BA7745"/>
    <w:rsid w:val="00BA7BE6"/>
    <w:rsid w:val="00BB3DDF"/>
    <w:rsid w:val="00BC33DA"/>
    <w:rsid w:val="00BC59BD"/>
    <w:rsid w:val="00C06843"/>
    <w:rsid w:val="00C13A72"/>
    <w:rsid w:val="00C1535B"/>
    <w:rsid w:val="00C24399"/>
    <w:rsid w:val="00C26A25"/>
    <w:rsid w:val="00C322C5"/>
    <w:rsid w:val="00C53468"/>
    <w:rsid w:val="00C8645F"/>
    <w:rsid w:val="00C91ECF"/>
    <w:rsid w:val="00CD5748"/>
    <w:rsid w:val="00CD5CBE"/>
    <w:rsid w:val="00CD6728"/>
    <w:rsid w:val="00CE4D8C"/>
    <w:rsid w:val="00CF5B45"/>
    <w:rsid w:val="00CF71E3"/>
    <w:rsid w:val="00D17008"/>
    <w:rsid w:val="00D20E89"/>
    <w:rsid w:val="00D3797A"/>
    <w:rsid w:val="00D458FE"/>
    <w:rsid w:val="00D57146"/>
    <w:rsid w:val="00D635E9"/>
    <w:rsid w:val="00D72B18"/>
    <w:rsid w:val="00D74363"/>
    <w:rsid w:val="00D8593D"/>
    <w:rsid w:val="00D875C5"/>
    <w:rsid w:val="00DA169D"/>
    <w:rsid w:val="00DB0040"/>
    <w:rsid w:val="00DB480A"/>
    <w:rsid w:val="00DB5319"/>
    <w:rsid w:val="00DC00E8"/>
    <w:rsid w:val="00DC4E3F"/>
    <w:rsid w:val="00DD032C"/>
    <w:rsid w:val="00DD1774"/>
    <w:rsid w:val="00DE1E68"/>
    <w:rsid w:val="00DE2F4F"/>
    <w:rsid w:val="00DE7386"/>
    <w:rsid w:val="00E00126"/>
    <w:rsid w:val="00E044CC"/>
    <w:rsid w:val="00E1465A"/>
    <w:rsid w:val="00E32262"/>
    <w:rsid w:val="00E33182"/>
    <w:rsid w:val="00E41DFA"/>
    <w:rsid w:val="00E55D45"/>
    <w:rsid w:val="00E64728"/>
    <w:rsid w:val="00E74559"/>
    <w:rsid w:val="00E74E3F"/>
    <w:rsid w:val="00EA5EEB"/>
    <w:rsid w:val="00EA78B1"/>
    <w:rsid w:val="00EC60C4"/>
    <w:rsid w:val="00ED2798"/>
    <w:rsid w:val="00EF2957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1C51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2312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2019-05-03T12:16:00Z</cp:lastPrinted>
  <dcterms:created xsi:type="dcterms:W3CDTF">2019-05-03T12:51:00Z</dcterms:created>
  <dcterms:modified xsi:type="dcterms:W3CDTF">2019-05-03T12:57:00Z</dcterms:modified>
</cp:coreProperties>
</file>