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4C0F26" w:rsidRDefault="008E48D1">
      <w:pPr>
        <w:jc w:val="both"/>
        <w:rPr>
          <w:sz w:val="21"/>
          <w:szCs w:val="21"/>
        </w:rPr>
      </w:pPr>
      <w:r w:rsidRPr="004C0F26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F97FA2" w:rsidRPr="004C0F26">
        <w:rPr>
          <w:rFonts w:ascii="Verdana" w:hAnsi="Verdana" w:cs="Verdana"/>
          <w:b/>
          <w:sz w:val="21"/>
          <w:szCs w:val="21"/>
        </w:rPr>
        <w:t>140/2018</w:t>
      </w:r>
    </w:p>
    <w:p w:rsidR="00D978F2" w:rsidRPr="004C0F26" w:rsidRDefault="008E48D1">
      <w:pPr>
        <w:jc w:val="both"/>
        <w:rPr>
          <w:sz w:val="21"/>
          <w:szCs w:val="21"/>
        </w:rPr>
      </w:pPr>
      <w:r w:rsidRPr="004C0F26">
        <w:rPr>
          <w:rFonts w:ascii="Verdana" w:hAnsi="Verdana" w:cs="Verdana"/>
          <w:b/>
          <w:sz w:val="21"/>
          <w:szCs w:val="21"/>
        </w:rPr>
        <w:t xml:space="preserve">PREGÃO PRESENCIAL Nº </w:t>
      </w:r>
      <w:r w:rsidR="00F97FA2" w:rsidRPr="004C0F26">
        <w:rPr>
          <w:rFonts w:ascii="Verdana" w:hAnsi="Verdana" w:cs="Verdana"/>
          <w:b/>
          <w:sz w:val="21"/>
          <w:szCs w:val="21"/>
        </w:rPr>
        <w:t>083/2018</w:t>
      </w:r>
    </w:p>
    <w:p w:rsidR="00D978F2" w:rsidRPr="004C0F26" w:rsidRDefault="00D978F2">
      <w:pPr>
        <w:pStyle w:val="Ttulo11"/>
        <w:spacing w:before="0" w:after="0"/>
        <w:rPr>
          <w:rFonts w:ascii="Verdana" w:hAnsi="Verdana" w:cs="Verdana"/>
          <w:b w:val="0"/>
          <w:color w:val="auto"/>
          <w:sz w:val="21"/>
          <w:szCs w:val="21"/>
          <w:u w:val="single"/>
        </w:rPr>
      </w:pPr>
    </w:p>
    <w:p w:rsidR="00D978F2" w:rsidRPr="004C0F26" w:rsidRDefault="00D978F2">
      <w:pPr>
        <w:tabs>
          <w:tab w:val="right" w:pos="2359"/>
        </w:tabs>
        <w:jc w:val="both"/>
        <w:rPr>
          <w:rFonts w:ascii="Verdana" w:hAnsi="Verdana" w:cs="Verdana"/>
          <w:sz w:val="21"/>
          <w:szCs w:val="21"/>
          <w:u w:val="single"/>
        </w:rPr>
      </w:pPr>
    </w:p>
    <w:p w:rsidR="00D978F2" w:rsidRPr="004C0F26" w:rsidRDefault="008E48D1">
      <w:pPr>
        <w:jc w:val="both"/>
        <w:rPr>
          <w:sz w:val="21"/>
          <w:szCs w:val="21"/>
        </w:rPr>
      </w:pPr>
      <w:r w:rsidRPr="004C0F26">
        <w:rPr>
          <w:rFonts w:ascii="Verdana" w:hAnsi="Verdana" w:cs="Verdana"/>
          <w:sz w:val="21"/>
          <w:szCs w:val="21"/>
        </w:rPr>
        <w:t xml:space="preserve">ATA DE REGISTRO DE PREÇOS Nº </w:t>
      </w:r>
      <w:r w:rsidR="008E706F" w:rsidRPr="004C0F26">
        <w:rPr>
          <w:rFonts w:ascii="Verdana" w:hAnsi="Verdana" w:cs="Verdana"/>
          <w:sz w:val="21"/>
          <w:szCs w:val="21"/>
        </w:rPr>
        <w:t>065</w:t>
      </w:r>
      <w:r w:rsidRPr="004C0F26">
        <w:rPr>
          <w:rFonts w:ascii="Verdana" w:hAnsi="Verdana" w:cs="Verdana"/>
          <w:sz w:val="21"/>
          <w:szCs w:val="21"/>
        </w:rPr>
        <w:t>/</w:t>
      </w:r>
      <w:r w:rsidR="007A2FDA" w:rsidRPr="004C0F26">
        <w:rPr>
          <w:rFonts w:ascii="Verdana" w:hAnsi="Verdana" w:cs="Verdana"/>
          <w:sz w:val="21"/>
          <w:szCs w:val="21"/>
        </w:rPr>
        <w:t>2018</w:t>
      </w:r>
      <w:r w:rsidRPr="004C0F26">
        <w:rPr>
          <w:rFonts w:ascii="Verdana" w:hAnsi="Verdana" w:cs="Verdana"/>
          <w:sz w:val="21"/>
          <w:szCs w:val="21"/>
        </w:rPr>
        <w:t>.</w:t>
      </w:r>
    </w:p>
    <w:p w:rsidR="00D978F2" w:rsidRPr="004C0F26" w:rsidRDefault="008E48D1">
      <w:pPr>
        <w:jc w:val="both"/>
        <w:rPr>
          <w:sz w:val="21"/>
          <w:szCs w:val="21"/>
        </w:rPr>
      </w:pPr>
      <w:r w:rsidRPr="004C0F26">
        <w:rPr>
          <w:rFonts w:ascii="Verdana" w:hAnsi="Verdana" w:cs="Verdana"/>
          <w:sz w:val="21"/>
          <w:szCs w:val="21"/>
        </w:rPr>
        <w:t xml:space="preserve">PREGÃO Nº </w:t>
      </w:r>
      <w:r w:rsidR="00F97FA2" w:rsidRPr="004C0F26">
        <w:rPr>
          <w:rFonts w:ascii="Verdana" w:hAnsi="Verdana" w:cs="Verdana"/>
          <w:sz w:val="21"/>
          <w:szCs w:val="21"/>
        </w:rPr>
        <w:t>083/2018</w:t>
      </w:r>
      <w:r w:rsidRPr="004C0F26">
        <w:rPr>
          <w:rFonts w:ascii="Verdana" w:hAnsi="Verdana" w:cs="Verdana"/>
          <w:sz w:val="21"/>
          <w:szCs w:val="21"/>
        </w:rPr>
        <w:t>.</w:t>
      </w:r>
    </w:p>
    <w:p w:rsidR="00D978F2" w:rsidRPr="004C0F26" w:rsidRDefault="008E48D1">
      <w:pPr>
        <w:jc w:val="both"/>
        <w:rPr>
          <w:sz w:val="21"/>
          <w:szCs w:val="21"/>
        </w:rPr>
      </w:pPr>
      <w:r w:rsidRPr="004C0F26">
        <w:rPr>
          <w:rFonts w:ascii="Verdana" w:hAnsi="Verdana" w:cs="Verdana"/>
          <w:sz w:val="21"/>
          <w:szCs w:val="21"/>
        </w:rPr>
        <w:t xml:space="preserve">PROCESSO Nº </w:t>
      </w:r>
      <w:r w:rsidR="00F97FA2" w:rsidRPr="004C0F26">
        <w:rPr>
          <w:rFonts w:ascii="Verdana" w:hAnsi="Verdana" w:cs="Verdana"/>
          <w:sz w:val="21"/>
          <w:szCs w:val="21"/>
        </w:rPr>
        <w:t>140/2018</w:t>
      </w:r>
      <w:r w:rsidRPr="004C0F26">
        <w:rPr>
          <w:rFonts w:ascii="Verdana" w:hAnsi="Verdana" w:cs="Verdana"/>
          <w:sz w:val="21"/>
          <w:szCs w:val="21"/>
        </w:rPr>
        <w:t>.</w:t>
      </w:r>
    </w:p>
    <w:p w:rsidR="00D978F2" w:rsidRPr="004C0F26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4C0F26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VALIDADE: 12 meses.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7B7171">
      <w:pPr>
        <w:pStyle w:val="Corpodetexto"/>
        <w:tabs>
          <w:tab w:val="left" w:pos="4156"/>
          <w:tab w:val="left" w:pos="5426"/>
        </w:tabs>
        <w:jc w:val="both"/>
        <w:rPr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>Aos 02 (dois) dias do mês de janeiro de 2019</w:t>
      </w:r>
      <w:r w:rsidR="008E48D1" w:rsidRPr="0008391E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14D01" w:rsidRPr="0008391E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="008E48D1" w:rsidRPr="0008391E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C11D34" w:rsidRPr="0008391E">
        <w:rPr>
          <w:rFonts w:ascii="Verdana" w:hAnsi="Verdana" w:cs="Arial"/>
          <w:sz w:val="21"/>
          <w:szCs w:val="21"/>
        </w:rPr>
        <w:t>Márcia Aparecida de Faria</w:t>
      </w:r>
      <w:r w:rsidR="008E48D1" w:rsidRPr="0008391E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F97FA2" w:rsidRPr="0008391E">
        <w:rPr>
          <w:rFonts w:ascii="Verdana" w:hAnsi="Verdana" w:cs="Arial"/>
          <w:sz w:val="21"/>
          <w:szCs w:val="21"/>
        </w:rPr>
        <w:t>083/2018</w:t>
      </w:r>
      <w:r w:rsidR="008E48D1" w:rsidRPr="0008391E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97FA2" w:rsidRPr="0008391E">
        <w:rPr>
          <w:rFonts w:ascii="Verdana" w:hAnsi="Verdana" w:cs="Arial"/>
          <w:sz w:val="21"/>
          <w:szCs w:val="21"/>
        </w:rPr>
        <w:t>140/2018</w:t>
      </w:r>
      <w:r w:rsidR="008E48D1" w:rsidRPr="0008391E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08391E" w:rsidRPr="0008391E">
        <w:rPr>
          <w:rFonts w:ascii="Verdana" w:hAnsi="Verdana"/>
          <w:b/>
          <w:sz w:val="21"/>
          <w:szCs w:val="21"/>
        </w:rPr>
        <w:t>STUDIO 99 LTDA ME</w:t>
      </w:r>
      <w:r w:rsidR="0008391E" w:rsidRPr="0008391E">
        <w:rPr>
          <w:rFonts w:ascii="Verdana" w:hAnsi="Verdana"/>
          <w:sz w:val="21"/>
          <w:szCs w:val="21"/>
        </w:rPr>
        <w:t xml:space="preserve">, localizado na Rua Sebastião Cordeiro Valadares, nº. 21, Centro, Papagaios/MG, CEP 35.669-000, cujo CNPJ é 04.255.994/0001-48, neste ato representado por </w:t>
      </w:r>
      <w:r w:rsidR="0030291E">
        <w:rPr>
          <w:rFonts w:ascii="Verdana" w:hAnsi="Verdana"/>
          <w:sz w:val="21"/>
          <w:szCs w:val="21"/>
        </w:rPr>
        <w:t>Adriano Gonçalves de Souza</w:t>
      </w:r>
      <w:r w:rsidR="0008391E" w:rsidRPr="0008391E">
        <w:rPr>
          <w:rFonts w:ascii="Verdana" w:hAnsi="Verdana"/>
          <w:sz w:val="21"/>
          <w:szCs w:val="21"/>
        </w:rPr>
        <w:t xml:space="preserve">, inscrito no CPF/MF sob o nº. </w:t>
      </w:r>
      <w:r w:rsidR="0030291E">
        <w:rPr>
          <w:rFonts w:ascii="Verdana" w:hAnsi="Verdana"/>
          <w:sz w:val="21"/>
          <w:szCs w:val="21"/>
        </w:rPr>
        <w:t>846.829.576-00</w:t>
      </w:r>
      <w:bookmarkStart w:id="0" w:name="_GoBack"/>
      <w:bookmarkEnd w:id="0"/>
      <w:r w:rsidR="0008391E" w:rsidRPr="0008391E">
        <w:rPr>
          <w:rFonts w:ascii="Verdana" w:hAnsi="Verdana"/>
          <w:sz w:val="21"/>
          <w:szCs w:val="21"/>
        </w:rPr>
        <w:t>, conforme quadro abaixo</w:t>
      </w:r>
      <w:r w:rsidR="008E48D1" w:rsidRPr="0008391E">
        <w:rPr>
          <w:rFonts w:ascii="Verdana" w:hAnsi="Verdana" w:cs="Arial"/>
          <w:sz w:val="21"/>
          <w:szCs w:val="21"/>
        </w:rPr>
        <w:t>:</w:t>
      </w:r>
    </w:p>
    <w:p w:rsidR="00D978F2" w:rsidRPr="0008391E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798"/>
        <w:gridCol w:w="940"/>
        <w:gridCol w:w="1120"/>
        <w:gridCol w:w="917"/>
        <w:gridCol w:w="1100"/>
        <w:gridCol w:w="884"/>
        <w:gridCol w:w="1100"/>
      </w:tblGrid>
      <w:tr w:rsidR="00EE62A5" w:rsidRPr="00EE62A5" w:rsidTr="00EE1D14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859" w:type="dxa"/>
            <w:gridSpan w:val="7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EE62A5" w:rsidRPr="00EE62A5" w:rsidTr="00EE1D14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8" w:type="dxa"/>
            <w:gridSpan w:val="3"/>
            <w:shd w:val="clear" w:color="000000" w:fill="BFBFBF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EE1D14" w:rsidRPr="00EE62A5" w:rsidTr="00EE1D14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shd w:val="clear" w:color="000000" w:fill="D9D9D9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7" w:type="dxa"/>
            <w:vMerge w:val="restart"/>
            <w:shd w:val="clear" w:color="000000" w:fill="D9D9D9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EE62A5" w:rsidRPr="00EE62A5" w:rsidTr="00EE1D14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E62A5" w:rsidRPr="00EE62A5" w:rsidRDefault="00EE62A5" w:rsidP="00EE62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1 POR 1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18.000,00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1 POR 1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13.500,00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1 POR 1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18.000,00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1 POR 1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22.500,00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SERVIÇO DE SONORIZAÇÃO P.A 1 POR 1 COM TELÃO 150 POLEGADAS. DEVERÁ FICAR À DISPOSIÇÃO POR 1 DIA 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SERVIÇO DE SONORIZAÇÃO P.A 1 POR 1 COM TELÃO 150 POLEGADAS. DEVERÁ FICAR À DISPOSIÇÃO POR 2 DIAS 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SERVIÇO DE SONORIZAÇÃO P.A 1 POR 1 COM TELÃO 150 POLEGADAS. DEVERÁ FICAR À DISPOSIÇÃO POR 3 DIAS 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SERVIÇO DE SONORIZAÇÃO P.A 1 POR 1 COM TELÃO 150 POLEGADAS. DEVERÁ FICAR À DISPOSIÇÃO POR 4 DIAS 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1 POR 1 COM TELÃO 150 POLEGADAS E ILUMINAÇÃO.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18.000,00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1 POR 1 COM TELÃO 150 POLEGADAS E ILUMINAÇÃO.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1 POR 1 COM TELÃO 150 POLEGADAS E ILUMINAÇÃO.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1 POR 1 COM TELÃO 150 POLEGADAS E ILUMINAÇÃO.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20.000,00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3.300,00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3.300,00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16.500,00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17.000,00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TELÃO 150 POLEGADAS.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TELÃO 150 POLEGADAS.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21.000,00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SERVIÇO DE SONORIZAÇÃO P.A 2 </w:t>
            </w: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POR 2 COM TELÃO 150 POLEGADAS.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27.000,00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TELÃO 150 POLEGADAS.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22.000,00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TELÃO 150 POLEGADAS E ILUMINAÇÃO.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21.000,00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TELÃO 150 POLEGADAS E ILUMINAÇÃO.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28.500,00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TELÃO 150 POLEGADAS E ILUMINAÇÃO.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TELÃO 150 POLEGADAS E ILUMINAÇÃO.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2.900,00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29.000,00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ILUMINAÇÃO PARA SHOW.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5.100,00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5.100,00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25.500,00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ILUMINAÇÃO PARA SHOW.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ILUMINAÇÃO PARA SHOW.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3.100,00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31.000,00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2 POR 2 COM ILUMINAÇÃO PARA SHOW.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38.000,00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TORRE FLY.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27.000,00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SERVIÇO DE SONORIZAÇÃO P.A 4 </w:t>
            </w: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POR 4 COM TORRE FLY.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TORRE FLY.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TORRE FLY.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ILUMINAÇÃO PARA SHOW.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33.000,00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ILUMINAÇÃO PARA SHOW.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42.000,00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ILUMINAÇÃO PARA SHOW.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ILUMINAÇÃO PARA SHOW.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40.000,00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ILUMINAÇÃO PARA SHOW E TELÃO 200 POLEGADAS.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ILUMINAÇÃO PARA SHOW E TELÃO 200 POLEGADAS.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45.000,00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ILUMINAÇÃO PARA SHOW E TELÃO 200 POLEGADAS.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SERVIÇO DE SONORIZAÇÃO P.A 4 POR 4 COM ILUMINAÇÃO PARA SHOW E TELÃO 200 POLEGADAS. DEVERÁ </w:t>
            </w: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42.000,00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TORRE FLY, ILUMINAÇÃO PARA SHOW E TELÃO 200 POLEGADAS.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39.000,00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TORRE FLY, ILUMINAÇÃO PARA SHOW E TELÃO 200 POLEGADAS.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TORRE FLY, ILUMINAÇÃO PARA SHOW E TELÃO 200 POLEGADAS.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4 POR 4 COM TORRE FLY, ILUMINAÇÃO PARA SHOW E TELÃO 200 POLEGADAS.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11.200,00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11.200,00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3.300,00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9.900,00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9.900,00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49.500,00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42.000,00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5.100,00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51.000,00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ILUMINAÇÃO PARA SHOW E TELÃO 200 POLEGADAS.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ILUMINAÇÃO PARA SHOW E TELÃO 200 POLEGADAS.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12.600,00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12.600,00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63.000,00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ILUMINAÇÃO PARA SHOW E TELÃO 200 POLEGADAS.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ILUMINAÇÃO PARA SHOW E TELÃO 200 POLEGADAS.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13.200,00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13.200,00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66.000,00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PARA SHOW E TELÃO 200 POLEGADAS.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3.300,00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9.900,00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9.900,00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49.500,00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PARA SHOW E TELÃO 200 POLEGADAS.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9.600,00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48.000,00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PARA SHOW E TELÃO 200 POLEGADAS.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6.300,00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12.600,00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12.600,00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63.000,00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PARA SHOW E TELÃO 200 POLEGADAS.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15.600,00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78.000,00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PARA SHOW, TELÃO 200 POLEGADAS, FILMAGENS AO VIVO E ILUMINAÇÃO DE PISTA.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3.700,00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37.000,00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PARA SHOW, TELÃO 200 POLEGADAS, FILMAGENS AO VIVO E ILUMINAÇÃO DE PISTA.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54.000,00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SERVIÇO DE SONORIZAÇÃO P.A 6 POR 6 COM TORRE FLY, ILUMINAÇÃO PARA SHOW, TELÃO 200 </w:t>
            </w: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POLEGADAS, FILMAGENS AO VIVO E ILUMINAÇÃO DE PISTA.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7.100,00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14.200,00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14.200,00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71.000,00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60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PARA SHOW, TELÃO 200 POLEGADAS, FILMAGENS AO VIVO E ILUMINAÇÃO DE PISTA.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17.600,00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17.600,00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88.000,00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E TELÃO EM ARENA DE RODEIO, PISTA DE VAQUEJADA E PROVAS EQUINAS. DEVERÁ FICAR À DISPOSIÇÃO POR 1 DIA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17.500,00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E TELÃO EM ARENA DE RODEIO, PISTA DE VAQUEJADA E PROVAS EQUINAS. DEVERÁ FICAR À DISPOSIÇÃO POR 2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25.000,00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E TELÃO EM ARENA DE RODEIO, PISTA DE VAQUEJADA E PROVAS EQUINAS. DEVERÁ FICAR À DISPOSIÇÃO POR 3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30.000,00</w:t>
            </w:r>
          </w:p>
        </w:tc>
      </w:tr>
      <w:tr w:rsidR="00EE1D14" w:rsidRPr="00EE62A5" w:rsidTr="00EE1D1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 w:cs="Arial"/>
                <w:color w:val="000000"/>
                <w:sz w:val="14"/>
                <w:szCs w:val="14"/>
              </w:rPr>
              <w:t>SERVIÇO DE SONORIZAÇÃO P.A 6 POR 6 COM TORRE FLY, ILUMINAÇÃO E TELÃO EM ARENA DE RODEIO, PISTA DE VAQUEJADA E PROVAS EQUINAS. DEVERÁ FICAR À DISPOSIÇÃO POR 4 DIAS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E62A5" w:rsidRPr="00EE62A5" w:rsidRDefault="00EE62A5" w:rsidP="00EE62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E62A5" w:rsidRPr="00EE62A5" w:rsidRDefault="00EE62A5" w:rsidP="00EE1D1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E62A5">
              <w:rPr>
                <w:rFonts w:ascii="Verdana" w:hAnsi="Verdana"/>
                <w:color w:val="000000"/>
                <w:sz w:val="14"/>
                <w:szCs w:val="14"/>
              </w:rPr>
              <w:t>35.000,00</w:t>
            </w:r>
          </w:p>
        </w:tc>
      </w:tr>
    </w:tbl>
    <w:p w:rsidR="00D978F2" w:rsidRPr="0008391E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01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DO OBJETO:</w:t>
      </w:r>
    </w:p>
    <w:p w:rsidR="00D978F2" w:rsidRPr="0008391E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08391E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6589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02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DA VALIDADE DO REGISTRO DE PREÇOS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lastRenderedPageBreak/>
        <w:t xml:space="preserve">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7944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03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DA UTILIZAÇÃO DA ATA DE REGISTRO DE PREÇOS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2401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04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DO PREÇO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97FA2" w:rsidRPr="0008391E">
        <w:rPr>
          <w:rFonts w:ascii="Verdana" w:hAnsi="Verdana" w:cs="Verdana"/>
          <w:sz w:val="21"/>
          <w:szCs w:val="21"/>
        </w:rPr>
        <w:t>083/2018</w:t>
      </w:r>
      <w:r w:rsidRPr="0008391E">
        <w:rPr>
          <w:rFonts w:ascii="Verdana" w:hAnsi="Verdana" w:cs="Verdana"/>
          <w:sz w:val="21"/>
          <w:szCs w:val="21"/>
        </w:rPr>
        <w:t>.</w:t>
      </w:r>
    </w:p>
    <w:p w:rsidR="00D978F2" w:rsidRPr="0008391E" w:rsidRDefault="00D978F2">
      <w:pPr>
        <w:tabs>
          <w:tab w:val="right" w:pos="912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97FA2" w:rsidRPr="0008391E">
        <w:rPr>
          <w:rFonts w:ascii="Verdana" w:hAnsi="Verdana" w:cs="Verdana"/>
          <w:sz w:val="21"/>
          <w:szCs w:val="21"/>
        </w:rPr>
        <w:t>083/2018</w:t>
      </w:r>
      <w:r w:rsidRPr="0008391E">
        <w:rPr>
          <w:rFonts w:ascii="Verdana" w:hAnsi="Verdana" w:cs="Verdana"/>
          <w:sz w:val="21"/>
          <w:szCs w:val="21"/>
        </w:rPr>
        <w:t>, que integra o presente instrumento de compromisso.</w:t>
      </w:r>
    </w:p>
    <w:p w:rsidR="00D978F2" w:rsidRPr="0008391E" w:rsidRDefault="00D978F2">
      <w:pPr>
        <w:tabs>
          <w:tab w:val="right" w:pos="9106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97FA2" w:rsidRPr="0008391E">
        <w:rPr>
          <w:rFonts w:ascii="Verdana" w:hAnsi="Verdana" w:cs="Verdana"/>
          <w:sz w:val="21"/>
          <w:szCs w:val="21"/>
        </w:rPr>
        <w:t>083/2018</w:t>
      </w:r>
      <w:r w:rsidRPr="0008391E">
        <w:rPr>
          <w:rFonts w:ascii="Verdana" w:hAnsi="Verdana" w:cs="Verdana"/>
          <w:sz w:val="21"/>
          <w:szCs w:val="21"/>
        </w:rPr>
        <w:t xml:space="preserve"> pelas empresas detentoras da presente Ata, as quais também a integram.</w:t>
      </w:r>
    </w:p>
    <w:p w:rsidR="00D978F2" w:rsidRPr="0008391E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08391E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05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DO LOCAL E PRAZO DE ENTREGA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3229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06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DO PAGAMENTO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8391E">
        <w:rPr>
          <w:rFonts w:ascii="Verdana" w:hAnsi="Verdana" w:cs="Verdana"/>
          <w:bCs/>
          <w:sz w:val="21"/>
          <w:szCs w:val="21"/>
        </w:rPr>
        <w:t xml:space="preserve">em até 30 (trinta) dias após recebimento </w:t>
      </w:r>
      <w:r w:rsidRPr="0008391E">
        <w:rPr>
          <w:rFonts w:ascii="Verdana" w:hAnsi="Verdana" w:cs="Verdana"/>
          <w:sz w:val="21"/>
          <w:szCs w:val="21"/>
        </w:rPr>
        <w:t>definitivo pela unidade requisitante</w:t>
      </w:r>
      <w:r w:rsidRPr="0008391E">
        <w:rPr>
          <w:rFonts w:ascii="Verdana" w:hAnsi="Verdana" w:cs="Verdana"/>
          <w:bCs/>
          <w:sz w:val="21"/>
          <w:szCs w:val="21"/>
        </w:rPr>
        <w:t xml:space="preserve"> do objeto, </w:t>
      </w:r>
      <w:r w:rsidRPr="0008391E">
        <w:rPr>
          <w:rFonts w:ascii="Verdana" w:hAnsi="Verdana" w:cs="Verdana"/>
          <w:sz w:val="21"/>
          <w:szCs w:val="21"/>
        </w:rPr>
        <w:t>mediante apresentação da Nota Fiscal.</w:t>
      </w:r>
    </w:p>
    <w:p w:rsidR="00D978F2" w:rsidRPr="0008391E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0839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08391E">
        <w:rPr>
          <w:rFonts w:ascii="Verdana" w:hAnsi="Verdana" w:cs="Calibri"/>
          <w:sz w:val="21"/>
          <w:szCs w:val="21"/>
        </w:rPr>
        <w:t>II</w:t>
      </w:r>
      <w:r w:rsidR="00F13ED3" w:rsidRPr="0008391E">
        <w:rPr>
          <w:rFonts w:ascii="Verdana" w:hAnsi="Verdana" w:cs="Calibri"/>
          <w:sz w:val="21"/>
          <w:szCs w:val="21"/>
        </w:rPr>
        <w:t xml:space="preserve"> </w:t>
      </w:r>
      <w:r w:rsidR="00F13ED3" w:rsidRPr="0008391E">
        <w:rPr>
          <w:rFonts w:ascii="Verdana" w:hAnsi="Verdana" w:cs="Verdana"/>
          <w:sz w:val="21"/>
          <w:szCs w:val="21"/>
        </w:rPr>
        <w:noBreakHyphen/>
        <w:t xml:space="preserve"> </w:t>
      </w:r>
      <w:r w:rsidRPr="0008391E">
        <w:rPr>
          <w:rFonts w:ascii="Verdana" w:hAnsi="Verdana" w:cs="Calibri"/>
          <w:sz w:val="21"/>
          <w:szCs w:val="21"/>
        </w:rPr>
        <w:t>A Nota Fiscal /Fatura Discriminativa deverá ser apresentada conforme descrito no Anexo</w:t>
      </w:r>
      <w:r w:rsidR="00F13ED3" w:rsidRPr="0008391E">
        <w:rPr>
          <w:rFonts w:ascii="Verdana" w:hAnsi="Verdana" w:cs="Calibri"/>
          <w:sz w:val="21"/>
          <w:szCs w:val="21"/>
        </w:rPr>
        <w:t xml:space="preserve"> III</w:t>
      </w:r>
      <w:r w:rsidRPr="0008391E">
        <w:rPr>
          <w:rFonts w:ascii="Verdana" w:hAnsi="Verdana" w:cs="Calibri"/>
          <w:sz w:val="21"/>
          <w:szCs w:val="21"/>
        </w:rPr>
        <w:t xml:space="preserve"> – Termo de referência;</w:t>
      </w:r>
    </w:p>
    <w:p w:rsidR="00F13ED3" w:rsidRPr="0008391E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</w:p>
    <w:p w:rsidR="00D978F2" w:rsidRPr="0008391E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1"/>
          <w:szCs w:val="21"/>
        </w:rPr>
      </w:pPr>
      <w:r w:rsidRPr="0008391E">
        <w:rPr>
          <w:rFonts w:ascii="Verdana" w:hAnsi="Verdana" w:cs="Calibri"/>
          <w:bCs/>
          <w:sz w:val="21"/>
          <w:szCs w:val="21"/>
        </w:rPr>
        <w:t>III.A Prefeitura Municipal efetuará o pagamento no prazo e condições descritas no Anexo</w:t>
      </w:r>
      <w:r w:rsidR="00F13ED3" w:rsidRPr="0008391E">
        <w:rPr>
          <w:rFonts w:ascii="Verdana" w:hAnsi="Verdana" w:cs="Calibri"/>
          <w:bCs/>
          <w:sz w:val="21"/>
          <w:szCs w:val="21"/>
        </w:rPr>
        <w:t xml:space="preserve"> III</w:t>
      </w:r>
      <w:r w:rsidRPr="0008391E">
        <w:rPr>
          <w:rFonts w:ascii="Verdana" w:hAnsi="Verdana" w:cs="Calibri"/>
          <w:bCs/>
          <w:sz w:val="21"/>
          <w:szCs w:val="21"/>
        </w:rPr>
        <w:t xml:space="preserve"> – Termo de Referência, conforme Nota Fiscal.</w:t>
      </w:r>
    </w:p>
    <w:p w:rsidR="00D978F2" w:rsidRPr="0008391E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0839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08391E">
        <w:rPr>
          <w:rFonts w:ascii="Verdana" w:hAnsi="Verdana" w:cs="Calibri"/>
          <w:sz w:val="21"/>
          <w:szCs w:val="21"/>
        </w:rPr>
        <w:t>IV</w:t>
      </w:r>
      <w:r w:rsidR="00F13ED3" w:rsidRPr="0008391E">
        <w:rPr>
          <w:rFonts w:ascii="Verdana" w:hAnsi="Verdana" w:cs="Calibri"/>
          <w:sz w:val="21"/>
          <w:szCs w:val="21"/>
        </w:rPr>
        <w:t xml:space="preserve"> </w:t>
      </w:r>
      <w:r w:rsidR="00F13ED3" w:rsidRPr="0008391E">
        <w:rPr>
          <w:rFonts w:ascii="Verdana" w:hAnsi="Verdana" w:cs="Verdana"/>
          <w:sz w:val="21"/>
          <w:szCs w:val="21"/>
        </w:rPr>
        <w:noBreakHyphen/>
      </w:r>
      <w:r w:rsidRPr="0008391E">
        <w:rPr>
          <w:rFonts w:ascii="Verdana" w:hAnsi="Verdana" w:cs="Calibri"/>
          <w:sz w:val="21"/>
          <w:szCs w:val="21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</w:t>
      </w:r>
      <w:r w:rsidRPr="0008391E">
        <w:rPr>
          <w:rFonts w:ascii="Verdana" w:hAnsi="Verdana" w:cs="Calibri"/>
          <w:sz w:val="21"/>
          <w:szCs w:val="21"/>
        </w:rPr>
        <w:lastRenderedPageBreak/>
        <w:t>competência imediatamente anterior àquela a que se refere a remuneração auferida;</w:t>
      </w:r>
    </w:p>
    <w:p w:rsidR="00F13ED3" w:rsidRPr="000839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0839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08391E">
        <w:rPr>
          <w:rFonts w:ascii="Verdana" w:hAnsi="Verdana" w:cs="Calibri"/>
          <w:sz w:val="21"/>
          <w:szCs w:val="21"/>
        </w:rPr>
        <w:t xml:space="preserve">V </w:t>
      </w:r>
      <w:r w:rsidR="002F5726" w:rsidRPr="0008391E">
        <w:rPr>
          <w:rFonts w:ascii="Verdana" w:hAnsi="Verdana" w:cs="Verdana"/>
          <w:sz w:val="21"/>
          <w:szCs w:val="21"/>
        </w:rPr>
        <w:noBreakHyphen/>
        <w:t xml:space="preserve"> </w:t>
      </w:r>
      <w:r w:rsidR="002F5726" w:rsidRPr="0008391E">
        <w:rPr>
          <w:rFonts w:ascii="Verdana" w:hAnsi="Verdana" w:cs="Calibri"/>
          <w:sz w:val="21"/>
          <w:szCs w:val="21"/>
        </w:rPr>
        <w:t>Não</w:t>
      </w:r>
      <w:r w:rsidR="008E48D1" w:rsidRPr="0008391E">
        <w:rPr>
          <w:rFonts w:ascii="Verdana" w:hAnsi="Verdana" w:cs="Calibri"/>
          <w:sz w:val="21"/>
          <w:szCs w:val="21"/>
        </w:rPr>
        <w:t xml:space="preserve"> será efetuado qualquer pagamento à detentora da ata enquanto houver pendência de liquidação da obrigação financeira em virtude de penalidade;</w:t>
      </w:r>
    </w:p>
    <w:p w:rsidR="002F5726" w:rsidRPr="0008391E" w:rsidRDefault="002F5726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0839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08391E">
        <w:rPr>
          <w:rFonts w:ascii="Verdana" w:hAnsi="Verdana" w:cs="Calibri"/>
          <w:sz w:val="21"/>
          <w:szCs w:val="21"/>
        </w:rPr>
        <w:t>VI. O preço referido registrado inclui todos os custos e benefícios decorrentes da prestação dos serviços, de modo a constituírem a única e total contra prestação;</w:t>
      </w:r>
    </w:p>
    <w:p w:rsidR="00F13ED3" w:rsidRPr="000839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08391E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VII </w:t>
      </w:r>
      <w:r w:rsidR="002F5726" w:rsidRPr="0008391E">
        <w:rPr>
          <w:rFonts w:ascii="Verdana" w:hAnsi="Verdana" w:cs="Verdana"/>
          <w:sz w:val="21"/>
          <w:szCs w:val="21"/>
        </w:rPr>
        <w:noBreakHyphen/>
        <w:t xml:space="preserve"> O</w:t>
      </w:r>
      <w:r w:rsidR="008E48D1" w:rsidRPr="0008391E">
        <w:rPr>
          <w:rFonts w:ascii="Verdana" w:hAnsi="Verdana" w:cs="Verdana"/>
          <w:sz w:val="21"/>
          <w:szCs w:val="21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0839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VII</w:t>
      </w:r>
      <w:r w:rsidR="00F13ED3"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I= (TX/100) 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EM = I x N x VP, onde: 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= Índice de atualização financeira; 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TX = Percentual da taxa de juros de mora anual; 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EM = Encargos moratórios; 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N = Número de dias entre a data prevista para o pagamento e a do efetivo pagamento; 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VP = Valor da parcela em atraso</w:t>
      </w:r>
    </w:p>
    <w:p w:rsidR="00D978F2" w:rsidRPr="0008391E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08391E" w:rsidRDefault="008E48D1">
      <w:pPr>
        <w:tabs>
          <w:tab w:val="right" w:pos="6375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07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DAS CONDIÇÕES DE FORNECIMENTO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IV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V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VI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VII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Calibri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D978F2" w:rsidRPr="0008391E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08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DAS PENALIDADES</w:t>
      </w:r>
    </w:p>
    <w:p w:rsidR="00D978F2" w:rsidRPr="0008391E" w:rsidRDefault="008E48D1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a) Advertência;</w:t>
      </w:r>
    </w:p>
    <w:p w:rsidR="00D978F2" w:rsidRPr="0008391E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08391E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08391E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D978F2" w:rsidRPr="0008391E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08391E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D978F2" w:rsidRPr="0008391E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>d.1) inobservância do nível de qualidade dos fornecimentos;</w:t>
      </w:r>
    </w:p>
    <w:p w:rsidR="00D978F2" w:rsidRPr="0008391E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>d.2) transferência total ou parcial do contrato a terceiros;</w:t>
      </w:r>
    </w:p>
    <w:p w:rsidR="00D978F2" w:rsidRPr="0008391E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>d.3) subcontratação no todo ou em parte do objeto sem prévia autorização formal da Contratante;</w:t>
      </w:r>
    </w:p>
    <w:p w:rsidR="00D978F2" w:rsidRPr="0008391E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>d.4) descumprimento de cláusula contratual.</w:t>
      </w:r>
    </w:p>
    <w:p w:rsidR="00D978F2" w:rsidRPr="0008391E" w:rsidRDefault="00D978F2">
      <w:pPr>
        <w:tabs>
          <w:tab w:val="center" w:pos="2268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III – </w:t>
      </w:r>
      <w:r w:rsidRPr="0008391E">
        <w:rPr>
          <w:rFonts w:ascii="Verdana" w:hAnsi="Verdana" w:cs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08391E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08391E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D978F2" w:rsidRPr="0008391E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 xml:space="preserve">V – O valor das multas aplicadas deverá ser pago por meio de guia própria ao Município de Papagaios/MG, no prazo máximo de 03 (três) dias úteis a contar da </w:t>
      </w:r>
      <w:r w:rsidRPr="0008391E">
        <w:rPr>
          <w:rFonts w:ascii="Verdana" w:hAnsi="Verdana" w:cs="Arial"/>
          <w:sz w:val="21"/>
          <w:szCs w:val="21"/>
        </w:rPr>
        <w:lastRenderedPageBreak/>
        <w:t>data da sua aplicação ou poderá ser descontado dos pagamentos das faturas devidas pelo Município, quando for o caso.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6019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09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DOS REAJUSTAMENTOS DE PREÇOS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97FA2" w:rsidRPr="0008391E">
        <w:rPr>
          <w:rFonts w:ascii="Verdana" w:hAnsi="Verdana" w:cs="Verdana"/>
          <w:sz w:val="21"/>
          <w:szCs w:val="21"/>
        </w:rPr>
        <w:t>083/2018</w:t>
      </w:r>
      <w:r w:rsidRPr="0008391E">
        <w:rPr>
          <w:rFonts w:ascii="Verdana" w:hAnsi="Verdana" w:cs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10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D978F2" w:rsidRPr="0008391E" w:rsidRDefault="00D978F2">
      <w:pPr>
        <w:tabs>
          <w:tab w:val="right" w:pos="85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8512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11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DO CANCELAMENTO DA ATA DE REGISTRO DE PREÇOS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I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D978F2" w:rsidRPr="0008391E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08391E" w:rsidRDefault="008E48D1">
      <w:pPr>
        <w:tabs>
          <w:tab w:val="left" w:pos="226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>Pela Administração, quando:</w:t>
      </w:r>
    </w:p>
    <w:p w:rsidR="00D978F2" w:rsidRPr="0008391E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08391E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A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D978F2" w:rsidRPr="0008391E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B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08391E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C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08391E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D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08391E" w:rsidRDefault="00D978F2">
      <w:pPr>
        <w:tabs>
          <w:tab w:val="right" w:pos="8371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8371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E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os preços registrados se apresentarem superiores aos praticados no mercado;</w:t>
      </w:r>
    </w:p>
    <w:p w:rsidR="00D978F2" w:rsidRPr="0008391E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F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978F2" w:rsidRPr="0008391E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G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978F2" w:rsidRPr="0008391E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b/>
          <w:sz w:val="21"/>
          <w:szCs w:val="21"/>
        </w:rPr>
        <w:t>Pelas detentoras, quando</w:t>
      </w:r>
      <w:r w:rsidRPr="0008391E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08391E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 xml:space="preserve">A </w:t>
      </w:r>
      <w:r w:rsidRPr="0008391E">
        <w:rPr>
          <w:rFonts w:ascii="Verdana" w:hAnsi="Verdana" w:cs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D978F2" w:rsidRPr="0008391E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08391E" w:rsidRDefault="008E48D1">
      <w:pPr>
        <w:tabs>
          <w:tab w:val="right" w:pos="6945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 xml:space="preserve">12 </w:t>
      </w:r>
      <w:r w:rsidRPr="0008391E">
        <w:rPr>
          <w:rFonts w:ascii="Verdana" w:hAnsi="Verdana" w:cs="Verdana"/>
          <w:b/>
          <w:sz w:val="21"/>
          <w:szCs w:val="21"/>
        </w:rPr>
        <w:noBreakHyphen/>
        <w:t xml:space="preserve"> DA AUTORIZAÇÃO PARA FORNECIMENTO</w:t>
      </w: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I</w:t>
      </w:r>
      <w:r w:rsidRPr="0008391E">
        <w:rPr>
          <w:rFonts w:ascii="Verdana" w:hAnsi="Verdana" w:cs="Verdana"/>
          <w:b/>
          <w:sz w:val="21"/>
          <w:szCs w:val="21"/>
        </w:rPr>
        <w:noBreakHyphen/>
      </w:r>
      <w:r w:rsidRPr="0008391E">
        <w:rPr>
          <w:rFonts w:ascii="Verdana" w:hAnsi="Verdana" w:cs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b/>
          <w:sz w:val="21"/>
          <w:szCs w:val="21"/>
        </w:rPr>
        <w:t>13</w:t>
      </w:r>
      <w:r w:rsidR="0008391E">
        <w:rPr>
          <w:rFonts w:ascii="Verdana" w:hAnsi="Verdana" w:cs="Verdana"/>
          <w:b/>
          <w:sz w:val="21"/>
          <w:szCs w:val="21"/>
        </w:rPr>
        <w:t xml:space="preserve"> </w:t>
      </w:r>
      <w:r w:rsidRPr="0008391E">
        <w:rPr>
          <w:rFonts w:ascii="Verdana" w:hAnsi="Verdana" w:cs="Verdana"/>
          <w:b/>
          <w:sz w:val="21"/>
          <w:szCs w:val="21"/>
        </w:rPr>
        <w:t>- DAS DISPOSIÇÕES FINAIS</w:t>
      </w:r>
    </w:p>
    <w:p w:rsidR="00D978F2" w:rsidRPr="0008391E" w:rsidRDefault="008E48D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97FA2" w:rsidRPr="0008391E">
        <w:rPr>
          <w:rFonts w:ascii="Verdana" w:hAnsi="Verdana" w:cs="Arial"/>
          <w:sz w:val="21"/>
          <w:szCs w:val="21"/>
        </w:rPr>
        <w:t>083/2018</w:t>
      </w:r>
      <w:r w:rsidRPr="0008391E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D978F2" w:rsidRPr="0008391E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D978F2" w:rsidRPr="0008391E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8E48D1">
      <w:pPr>
        <w:jc w:val="both"/>
        <w:rPr>
          <w:rFonts w:ascii="Verdana" w:hAnsi="Verdana"/>
          <w:sz w:val="21"/>
          <w:szCs w:val="21"/>
        </w:rPr>
      </w:pPr>
      <w:r w:rsidRPr="0008391E">
        <w:rPr>
          <w:rFonts w:ascii="Verdana" w:hAnsi="Verdana" w:cs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D978F2" w:rsidRPr="0008391E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08391E" w:rsidRDefault="0008391E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Papagaios/MG, 02 de janeiro de 2019</w:t>
      </w:r>
      <w:r w:rsidR="008E48D1" w:rsidRPr="0008391E">
        <w:rPr>
          <w:rFonts w:ascii="Verdana" w:hAnsi="Verdana" w:cs="Verdana"/>
          <w:sz w:val="21"/>
          <w:szCs w:val="21"/>
        </w:rPr>
        <w:t>.</w:t>
      </w:r>
    </w:p>
    <w:p w:rsidR="0008391E" w:rsidRDefault="0008391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08391E" w:rsidRPr="0008391E" w:rsidRDefault="0008391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08391E" w:rsidRPr="000F26CC" w:rsidRDefault="0008391E" w:rsidP="0008391E">
      <w:pPr>
        <w:pStyle w:val="Corpodetexto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Mário Reis Filgueiras</w:t>
      </w:r>
    </w:p>
    <w:p w:rsidR="0008391E" w:rsidRPr="00C04274" w:rsidRDefault="0008391E" w:rsidP="0008391E">
      <w:pPr>
        <w:pStyle w:val="Corpodetexto"/>
        <w:jc w:val="center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</w:rPr>
        <w:t>Município de Papagaios/MG</w:t>
      </w:r>
    </w:p>
    <w:p w:rsidR="0008391E" w:rsidRDefault="0008391E" w:rsidP="0008391E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08391E" w:rsidRDefault="0008391E" w:rsidP="0008391E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08391E" w:rsidRPr="000F26CC" w:rsidRDefault="0008391E" w:rsidP="0008391E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08391E" w:rsidRPr="000F26CC" w:rsidRDefault="0008391E" w:rsidP="0008391E">
      <w:pPr>
        <w:pStyle w:val="Corpodetexto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Studio 99 Ltda</w:t>
      </w:r>
    </w:p>
    <w:p w:rsidR="0008391E" w:rsidRPr="000F26CC" w:rsidRDefault="0008391E" w:rsidP="0008391E">
      <w:pPr>
        <w:pStyle w:val="Corpodetexto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04.255.994/0001-48</w:t>
      </w:r>
    </w:p>
    <w:p w:rsidR="002F5726" w:rsidRPr="0008391E" w:rsidRDefault="002F5726" w:rsidP="0008391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sectPr w:rsidR="002F5726" w:rsidRPr="0008391E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04" w:rsidRDefault="00545F04" w:rsidP="00D978F2">
      <w:r>
        <w:separator/>
      </w:r>
    </w:p>
  </w:endnote>
  <w:endnote w:type="continuationSeparator" w:id="0">
    <w:p w:rsidR="00545F04" w:rsidRDefault="00545F04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A6" w:rsidRDefault="007D05A6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7D05A6" w:rsidRDefault="007D05A6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04" w:rsidRDefault="00545F04" w:rsidP="00D978F2">
      <w:r>
        <w:separator/>
      </w:r>
    </w:p>
  </w:footnote>
  <w:footnote w:type="continuationSeparator" w:id="0">
    <w:p w:rsidR="00545F04" w:rsidRDefault="00545F04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7D05A6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D05A6" w:rsidRDefault="007D05A6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7D05A6" w:rsidRDefault="007D05A6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D05A6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D05A6" w:rsidRDefault="007D05A6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D05A6" w:rsidRDefault="007D05A6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D05A6" w:rsidRDefault="007D05A6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02511F"/>
    <w:rsid w:val="00045828"/>
    <w:rsid w:val="0008391E"/>
    <w:rsid w:val="000D278F"/>
    <w:rsid w:val="0018099C"/>
    <w:rsid w:val="0025570F"/>
    <w:rsid w:val="002F5726"/>
    <w:rsid w:val="0030291E"/>
    <w:rsid w:val="003A780B"/>
    <w:rsid w:val="003D1E93"/>
    <w:rsid w:val="0042346C"/>
    <w:rsid w:val="00441336"/>
    <w:rsid w:val="00454129"/>
    <w:rsid w:val="004C0F26"/>
    <w:rsid w:val="004C7A56"/>
    <w:rsid w:val="004F58D8"/>
    <w:rsid w:val="00505DA9"/>
    <w:rsid w:val="00514D01"/>
    <w:rsid w:val="005344E5"/>
    <w:rsid w:val="00545F04"/>
    <w:rsid w:val="005A53ED"/>
    <w:rsid w:val="005B0EBE"/>
    <w:rsid w:val="0069384B"/>
    <w:rsid w:val="006D5766"/>
    <w:rsid w:val="006E43EE"/>
    <w:rsid w:val="007975D2"/>
    <w:rsid w:val="00797970"/>
    <w:rsid w:val="007A2FDA"/>
    <w:rsid w:val="007A53D5"/>
    <w:rsid w:val="007B7171"/>
    <w:rsid w:val="007D05A6"/>
    <w:rsid w:val="00815B0A"/>
    <w:rsid w:val="00861F8A"/>
    <w:rsid w:val="008A12C9"/>
    <w:rsid w:val="008A54D3"/>
    <w:rsid w:val="008E48D1"/>
    <w:rsid w:val="008E706F"/>
    <w:rsid w:val="008E7AEB"/>
    <w:rsid w:val="008F1CDA"/>
    <w:rsid w:val="00A16F32"/>
    <w:rsid w:val="00A40616"/>
    <w:rsid w:val="00B2283E"/>
    <w:rsid w:val="00B57531"/>
    <w:rsid w:val="00B93E0F"/>
    <w:rsid w:val="00BE03E9"/>
    <w:rsid w:val="00C11D34"/>
    <w:rsid w:val="00C14F54"/>
    <w:rsid w:val="00C2443C"/>
    <w:rsid w:val="00C60DF3"/>
    <w:rsid w:val="00CB257E"/>
    <w:rsid w:val="00CD1EDB"/>
    <w:rsid w:val="00CF3A8F"/>
    <w:rsid w:val="00D978F2"/>
    <w:rsid w:val="00DE3080"/>
    <w:rsid w:val="00E2448E"/>
    <w:rsid w:val="00E31DDC"/>
    <w:rsid w:val="00E75A3B"/>
    <w:rsid w:val="00E86B59"/>
    <w:rsid w:val="00E92EA5"/>
    <w:rsid w:val="00EE1D14"/>
    <w:rsid w:val="00EE62A5"/>
    <w:rsid w:val="00F13ED3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1"/>
    <w:semiHidden/>
    <w:unhideWhenUsed/>
    <w:rsid w:val="004F58D8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semiHidden/>
    <w:rsid w:val="004F58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3627</Words>
  <Characters>19591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16</cp:revision>
  <cp:lastPrinted>2017-07-19T11:54:00Z</cp:lastPrinted>
  <dcterms:created xsi:type="dcterms:W3CDTF">2019-02-11T19:48:00Z</dcterms:created>
  <dcterms:modified xsi:type="dcterms:W3CDTF">2019-02-11T20:13:00Z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