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25" w:rsidRPr="00255344" w:rsidRDefault="00961925" w:rsidP="00961925">
      <w:pPr>
        <w:pageBreakBefore/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PROCESSO LICITATÓRIO Nº </w:t>
      </w:r>
      <w:r w:rsidR="002B7728" w:rsidRPr="00255344">
        <w:rPr>
          <w:rFonts w:ascii="Verdana" w:hAnsi="Verdana"/>
          <w:b/>
          <w:color w:val="000000"/>
          <w:sz w:val="23"/>
          <w:szCs w:val="23"/>
        </w:rPr>
        <w:t>135/2018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PREGÃO PRESENCIAL Nº </w:t>
      </w:r>
      <w:r w:rsidR="002B7728" w:rsidRPr="00255344">
        <w:rPr>
          <w:rFonts w:ascii="Verdana" w:hAnsi="Verdana"/>
          <w:b/>
          <w:color w:val="000000"/>
          <w:sz w:val="23"/>
          <w:szCs w:val="23"/>
        </w:rPr>
        <w:t>078/2018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pStyle w:val="Ttulo1"/>
        <w:keepNext w:val="0"/>
        <w:spacing w:line="200" w:lineRule="atLeast"/>
        <w:jc w:val="both"/>
        <w:rPr>
          <w:rFonts w:ascii="Verdana" w:hAnsi="Verdana"/>
          <w:b/>
          <w:sz w:val="23"/>
          <w:szCs w:val="23"/>
          <w:u w:val="single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ATA DE REGISTRO DE PREÇOS Nº </w:t>
      </w:r>
      <w:r w:rsidR="00EE128B" w:rsidRPr="00255344">
        <w:rPr>
          <w:rFonts w:ascii="Verdana" w:hAnsi="Verdana"/>
          <w:color w:val="000000"/>
          <w:sz w:val="23"/>
          <w:szCs w:val="23"/>
        </w:rPr>
        <w:t>060</w:t>
      </w:r>
      <w:r w:rsidR="006C3979" w:rsidRPr="00255344">
        <w:rPr>
          <w:rFonts w:ascii="Verdana" w:hAnsi="Verdana"/>
          <w:color w:val="000000"/>
          <w:sz w:val="23"/>
          <w:szCs w:val="23"/>
        </w:rPr>
        <w:t>/2018</w:t>
      </w:r>
      <w:r w:rsidRPr="00255344">
        <w:rPr>
          <w:rFonts w:ascii="Verdana" w:hAnsi="Verdana"/>
          <w:color w:val="000000"/>
          <w:sz w:val="23"/>
          <w:szCs w:val="23"/>
        </w:rPr>
        <w:t>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PREGÃO Nº </w:t>
      </w:r>
      <w:r w:rsidR="002B7728" w:rsidRPr="00255344">
        <w:rPr>
          <w:rFonts w:ascii="Verdana" w:hAnsi="Verdana"/>
          <w:color w:val="000000"/>
          <w:sz w:val="23"/>
          <w:szCs w:val="23"/>
        </w:rPr>
        <w:t>078/2018</w:t>
      </w:r>
      <w:r w:rsidRPr="00255344">
        <w:rPr>
          <w:rFonts w:ascii="Verdana" w:hAnsi="Verdana"/>
          <w:color w:val="000000"/>
          <w:sz w:val="23"/>
          <w:szCs w:val="23"/>
        </w:rPr>
        <w:t>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PROCESSO Nº </w:t>
      </w:r>
      <w:r w:rsidR="002B7728" w:rsidRPr="00255344">
        <w:rPr>
          <w:rFonts w:ascii="Verdana" w:hAnsi="Verdana"/>
          <w:color w:val="000000"/>
          <w:sz w:val="23"/>
          <w:szCs w:val="23"/>
        </w:rPr>
        <w:t>135/2018</w:t>
      </w:r>
      <w:r w:rsidRPr="00255344">
        <w:rPr>
          <w:rFonts w:ascii="Verdana" w:hAnsi="Verdana"/>
          <w:color w:val="000000"/>
          <w:sz w:val="23"/>
          <w:szCs w:val="23"/>
        </w:rPr>
        <w:t>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VALIDADE: 12 meses.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 xml:space="preserve">Aos </w:t>
      </w:r>
      <w:r w:rsidR="00E9646E" w:rsidRPr="00255344">
        <w:rPr>
          <w:rFonts w:ascii="Verdana" w:hAnsi="Verdana" w:cs="Arial"/>
          <w:color w:val="000000"/>
          <w:sz w:val="23"/>
          <w:szCs w:val="23"/>
        </w:rPr>
        <w:t xml:space="preserve">09 (nove) </w:t>
      </w:r>
      <w:r w:rsidRPr="00255344">
        <w:rPr>
          <w:rFonts w:ascii="Verdana" w:hAnsi="Verdana" w:cs="Arial"/>
          <w:color w:val="000000"/>
          <w:sz w:val="23"/>
          <w:szCs w:val="23"/>
        </w:rPr>
        <w:t>dias do mês de</w:t>
      </w:r>
      <w:r w:rsidR="00E9646E" w:rsidRPr="00255344">
        <w:rPr>
          <w:rFonts w:ascii="Verdana" w:hAnsi="Verdana" w:cs="Arial"/>
          <w:color w:val="000000"/>
          <w:sz w:val="23"/>
          <w:szCs w:val="23"/>
        </w:rPr>
        <w:t xml:space="preserve"> janeiro de 2019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, na sala de licitações, na sede da Prefeitura Municipal, situada na </w:t>
      </w:r>
      <w:r w:rsidR="00E9646E" w:rsidRPr="00255344">
        <w:rPr>
          <w:rFonts w:ascii="Verdana" w:hAnsi="Verdana" w:cs="Arial"/>
          <w:color w:val="000000"/>
          <w:sz w:val="23"/>
          <w:szCs w:val="23"/>
        </w:rPr>
        <w:t>Avenida Francisco Valadares da Fonseca, nº. 250, bairro Vasco Lopes, Papagaios/MG, CEP 35.669-000</w:t>
      </w:r>
      <w:r w:rsidRPr="00255344">
        <w:rPr>
          <w:rFonts w:ascii="Verdana" w:hAnsi="Verdana" w:cs="Arial"/>
          <w:color w:val="000000"/>
          <w:sz w:val="23"/>
          <w:szCs w:val="23"/>
        </w:rPr>
        <w:t>, o Exm</w:t>
      </w:r>
      <w:r w:rsidR="00E9646E" w:rsidRPr="00255344">
        <w:rPr>
          <w:rFonts w:ascii="Verdana" w:hAnsi="Verdana" w:cs="Arial"/>
          <w:color w:val="000000"/>
          <w:sz w:val="23"/>
          <w:szCs w:val="23"/>
        </w:rPr>
        <w:t>o. Sr. Prefeito Municipal, Sr. Mário Reis Filgueiras,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 nos termos do art. 15 da Lei Federal 8.666/93, da Lei 10.250/02, das demais normas legais aplicáveis, em face da classificação das propostas apresentadas no PREGÃO PARA REGISTRO DE PREÇOS Nº </w:t>
      </w:r>
      <w:r w:rsidR="002B7728" w:rsidRPr="00255344">
        <w:rPr>
          <w:rFonts w:ascii="Verdana" w:hAnsi="Verdana" w:cs="Arial"/>
          <w:color w:val="000000"/>
          <w:sz w:val="23"/>
          <w:szCs w:val="23"/>
        </w:rPr>
        <w:t>078/2018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 por deliberação do pregoeiro oficial e equipe de apoio, e por ele homologada conforme processo nº </w:t>
      </w:r>
      <w:r w:rsidR="002B7728" w:rsidRPr="00255344">
        <w:rPr>
          <w:rFonts w:ascii="Verdana" w:hAnsi="Verdana" w:cs="Arial"/>
          <w:color w:val="000000"/>
          <w:sz w:val="23"/>
          <w:szCs w:val="23"/>
        </w:rPr>
        <w:t>135/2018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 RESOLVE registrar os preços para os fornecimentos constantes nos anexos desta ata, beneficiário </w:t>
      </w:r>
      <w:r w:rsidR="00ED2FD2" w:rsidRPr="00ED2FD2">
        <w:rPr>
          <w:rFonts w:ascii="Verdana" w:hAnsi="Verdana" w:cs="Arial"/>
          <w:b/>
          <w:color w:val="000000"/>
          <w:sz w:val="23"/>
          <w:szCs w:val="23"/>
        </w:rPr>
        <w:t>DENTAL PRIME – PRODUTOS ODONTOLÓGICOS MÉDICOS HOSPITALARES EIRELI</w:t>
      </w:r>
      <w:r w:rsidR="00255344" w:rsidRPr="00255344">
        <w:rPr>
          <w:rFonts w:ascii="Verdana" w:hAnsi="Verdana" w:cs="Arial"/>
          <w:color w:val="000000"/>
          <w:sz w:val="23"/>
          <w:szCs w:val="23"/>
        </w:rPr>
        <w:t xml:space="preserve">, 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localizado na </w:t>
      </w:r>
      <w:r w:rsidR="00ED2FD2">
        <w:rPr>
          <w:rFonts w:ascii="Verdana" w:hAnsi="Verdana" w:cs="Arial"/>
          <w:color w:val="000000"/>
          <w:sz w:val="23"/>
          <w:szCs w:val="23"/>
        </w:rPr>
        <w:t>Rua Anne Frank, nº. 5241, Boqueirão, Curitiba/PR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, cujo CNPJ é </w:t>
      </w:r>
      <w:r w:rsidR="00ED2FD2">
        <w:rPr>
          <w:rFonts w:ascii="Verdana" w:hAnsi="Verdana" w:cs="Arial"/>
          <w:color w:val="000000"/>
          <w:sz w:val="23"/>
          <w:szCs w:val="23"/>
        </w:rPr>
        <w:t>21.504.525/0001-34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, neste ato representado por </w:t>
      </w:r>
      <w:r w:rsidR="00ED2FD2">
        <w:rPr>
          <w:rFonts w:ascii="Verdana" w:hAnsi="Verdana" w:cs="Arial"/>
          <w:color w:val="000000"/>
          <w:sz w:val="23"/>
          <w:szCs w:val="23"/>
        </w:rPr>
        <w:t>Humberto Délio Donini</w:t>
      </w:r>
      <w:r w:rsidR="00255344" w:rsidRPr="00255344">
        <w:rPr>
          <w:rFonts w:ascii="Verdana" w:hAnsi="Verdana" w:cs="Arial"/>
          <w:color w:val="000000"/>
          <w:sz w:val="23"/>
          <w:szCs w:val="23"/>
        </w:rPr>
        <w:t xml:space="preserve">, inscrita no CPF/MF </w:t>
      </w:r>
      <w:r w:rsidR="00ED2FD2">
        <w:rPr>
          <w:rFonts w:ascii="Verdana" w:hAnsi="Verdana" w:cs="Arial"/>
          <w:color w:val="000000"/>
          <w:sz w:val="23"/>
          <w:szCs w:val="23"/>
        </w:rPr>
        <w:t>007.710.129-42</w:t>
      </w:r>
      <w:r w:rsidRPr="00255344">
        <w:rPr>
          <w:rFonts w:ascii="Verdana" w:hAnsi="Verdana" w:cs="Arial"/>
          <w:color w:val="000000"/>
          <w:sz w:val="23"/>
          <w:szCs w:val="23"/>
        </w:rPr>
        <w:t>, conforme quadro abaixo:</w:t>
      </w:r>
    </w:p>
    <w:p w:rsidR="00961925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Verdana" w:hAnsi="Verdana" w:cs="Arial"/>
          <w:color w:val="000000"/>
          <w:sz w:val="23"/>
          <w:szCs w:val="23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858"/>
        <w:gridCol w:w="841"/>
        <w:gridCol w:w="1373"/>
        <w:gridCol w:w="1032"/>
        <w:gridCol w:w="910"/>
        <w:gridCol w:w="1018"/>
        <w:gridCol w:w="910"/>
        <w:gridCol w:w="1048"/>
      </w:tblGrid>
      <w:tr w:rsidR="004B258C" w:rsidRPr="004B258C" w:rsidTr="00312C2E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  <w:t>ITEM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  <w:t>DESCRIÇÃO DO ITEM</w:t>
            </w:r>
          </w:p>
        </w:tc>
        <w:tc>
          <w:tcPr>
            <w:tcW w:w="7176" w:type="dxa"/>
            <w:gridSpan w:val="7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  <w:t>QUANTIDADE/ VALOR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64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259" w:type="dxa"/>
            <w:gridSpan w:val="3"/>
            <w:shd w:val="clear" w:color="000000" w:fill="BFBFBF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Órgão gerenciador</w:t>
            </w:r>
          </w:p>
        </w:tc>
        <w:tc>
          <w:tcPr>
            <w:tcW w:w="1947" w:type="dxa"/>
            <w:gridSpan w:val="2"/>
            <w:shd w:val="clear" w:color="000000" w:fill="BFBFBF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Total a ser registrada e limite por adesão</w:t>
            </w:r>
          </w:p>
        </w:tc>
        <w:tc>
          <w:tcPr>
            <w:tcW w:w="1970" w:type="dxa"/>
            <w:gridSpan w:val="2"/>
            <w:shd w:val="clear" w:color="000000" w:fill="BFBFBF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Limite decorrente de adesões</w:t>
            </w:r>
          </w:p>
        </w:tc>
      </w:tr>
      <w:tr w:rsidR="004B258C" w:rsidRPr="004B258C" w:rsidTr="00312C2E">
        <w:trPr>
          <w:trHeight w:val="182"/>
        </w:trPr>
        <w:tc>
          <w:tcPr>
            <w:tcW w:w="520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64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Qtde Estimada</w:t>
            </w:r>
          </w:p>
        </w:tc>
        <w:tc>
          <w:tcPr>
            <w:tcW w:w="1373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 Valor Unitário </w:t>
            </w:r>
          </w:p>
        </w:tc>
        <w:tc>
          <w:tcPr>
            <w:tcW w:w="1044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Valor Total</w:t>
            </w:r>
          </w:p>
        </w:tc>
        <w:tc>
          <w:tcPr>
            <w:tcW w:w="918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Qtde. Estimada</w:t>
            </w:r>
          </w:p>
        </w:tc>
        <w:tc>
          <w:tcPr>
            <w:tcW w:w="1029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Valor Total</w:t>
            </w:r>
          </w:p>
        </w:tc>
        <w:tc>
          <w:tcPr>
            <w:tcW w:w="918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Qtde. Estimada</w:t>
            </w:r>
          </w:p>
        </w:tc>
        <w:tc>
          <w:tcPr>
            <w:tcW w:w="1052" w:type="dxa"/>
            <w:vMerge w:val="restart"/>
            <w:shd w:val="clear" w:color="000000" w:fill="D9D9D9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Valor Total</w:t>
            </w:r>
          </w:p>
        </w:tc>
      </w:tr>
      <w:tr w:rsidR="004B258C" w:rsidRPr="004B258C" w:rsidTr="00312C2E">
        <w:trPr>
          <w:trHeight w:val="182"/>
        </w:trPr>
        <w:tc>
          <w:tcPr>
            <w:tcW w:w="520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64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1029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4B258C" w:rsidRPr="004B258C" w:rsidRDefault="004B258C" w:rsidP="004B258C">
            <w:pPr>
              <w:rPr>
                <w:rFonts w:ascii="Verdana" w:hAnsi="Verdana" w:cs="Times New Roman"/>
                <w:color w:val="000000"/>
                <w:sz w:val="15"/>
                <w:szCs w:val="15"/>
              </w:rPr>
            </w:pP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Algodão rolinho, super absorvente, higiênico, 100% algodão. Pacote com 100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1,59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3.180,00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3.180,00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15.900,00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Agulha descartável curta (30 G) – caixa com 100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27,89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11.156,00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11.156,00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55.780,00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Agulha passa fio, de plástico, embalagem c/ 50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4,59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45,90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45,90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229,50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Anestésico injetável local, cada ml contendo 20 mg de cloridrato de lidocaína, 10 microgramas de epinefrina, também conhecida como adrenalina,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 xml:space="preserve">isento de metilparabeno,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envasado em tubetes de cristal com 1,8 ml e êmbolo siliconizados, alojados em blísteres lacrados com 10 tubetes cada. Caixas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com 50 tubetes. lidocaína 2% com vaso-constritorepinefrina.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65,69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65.690,00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65.690,00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328.450,00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Anestésico tópico em gel, contendo 200mg/g de benzocaína.Sabortuti-fruti.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6,10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1.830,00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1.830,00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9.150,00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cilíndrica dentada topo arredondado nº1557 (alta rotação)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cilíndrica dentada topo arredondado nº1558 (alta rotação)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02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04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06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carbide 1/2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422,00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2.110,00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Broca de baixa rotação / contra ângulo 02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672,50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de baixa rotação / contra ângulo 04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672,50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de baixa rotação / contra ângulo 06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672,50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Broca cirúrgica zeckria prata, 28 mm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16,40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1.640,00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1.640,00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8.200,00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Cápsulas para amálgama uma porção –regular, 400 mg de alloy e 360 mg de mercúrio por cápsula. galão com 500 unidades 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690,00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6.900,00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6.900,00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34.500,00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Cápsulas para amálgama duas porções- regular, 400 mg de alloy e 360 mg de mercúrio por cápsula. galão com 500 unidades.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971,00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97.100,00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97.100,00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485.500,00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Cimento de ionômero de vidro condensável para uso em </w:t>
            </w:r>
            <w:r w:rsidRPr="004B258C">
              <w:rPr>
                <w:rFonts w:ascii="Verdana" w:hAnsi="Verdana" w:cs="Times New Roman"/>
                <w:color w:val="FF0000"/>
                <w:sz w:val="15"/>
                <w:szCs w:val="15"/>
                <w:u w:val="single"/>
              </w:rPr>
              <w:t>ART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, para restaurações em dentes posteriores, quimicamente ativado, ácido/base,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 xml:space="preserve">radiopaco.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composto por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 xml:space="preserve"> ácidos poliacrílico e tartárico.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boa estética, de fácil manipulação, com rápido endurecimento, ter biocompatibilidade, grande adesão química, baixa solubilidade, adesão em superfícies úmidas e liberação contínua de flúor, deverá possuir adicionalmente alta resistência à compressão, alta resistência à flexão, dureza de superfície e baixa abrasão. a embalagem deverá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conter 10g de pó de cor universala3 + 8ml de liquído, 1colher medidora e 1 bloco de espatulação. comp.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>pó: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 silicato de bário e alumínio, ácido poliacrílico. desidratado e óxidode ferro.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>líquido: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 ácido poliacrílico, ácido tartárico e água destilada.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80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80,00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32.000,00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62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Cimento de ionômero de vidro de fácil manipulação, modificado com resina paraplicação em restaurações diretas. apresenta cura tripla. a cura pela luz oferece um maior tempo de trabalho e uma rápida geleificação. fotoativação permite que o material se estabilize rapidamente (20 segundos), minimizando a sensibilidade à água durante as fases iniciais de geleificação. alcança uma forte ligação do ionômero de dente. libera flúor na estrutura do dente e a absorção de flúor por este minimizar a incidência de cáries secundárias. sua excelente radiopacidade facilita o controle radiográfico. o cimento de ionômero de vidro, possui grande adesão quimica, liberação de flúor, biocompatibilidade. comp.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>pó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: silicato de strôncio-aluminío,carga, ativadores e óxido de ferro.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  <w:u w:val="single"/>
              </w:rPr>
              <w:t>liquído: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 2-hidroxietil metacrilato, solução aquosa de ácidos poliacrílico e tartárico, peróxido e tartárico, peróxido de benzoila e canforoquinona.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133,00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10.640,00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10.640,00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53.200,00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Cimento de material restaurador intermediário (irm). Líquido composto de eugenol 99,5%, ácido acético 0,5%, frasco com 15ml, que não esfarele durante o endurecimento da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mistura. Pó composto de óxido de zinco, polimetacrilato de metila. Embalagem com 38g e que não esfarele durante o endurecimento da mistura.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80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50,51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4.040,80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4.040,80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20.204,00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66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Clorexidina-solução a 0,12 de digluconato de clorexidina –frasco de 500 ml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367,25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367,25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125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1.836,25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Cunha de madeira anatômica sortidas cores variadas. Embalagem com 100 unid.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7,66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1.532,00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1.532,00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7.660,00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2F2F2F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2F2F2F"/>
                <w:sz w:val="15"/>
                <w:szCs w:val="15"/>
              </w:rPr>
              <w:t>Detergente enzimático elaborado com 4 enzimas, protease, amilase, lipase e carboidrase, contém tensoativos não iônicos. Indicado para a remoção de matéria orgânica como sangue, fezes, muco e fluidos orgânicos dos instrumentais cirúrgicos garantindo uma melhor desinfecção após limpeza. Recomendado para limpeza manual e para lavadoras ultra – sônicas em diluição e tempo comprovados. PRODUTO BIODEGRADÁVEL.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24,22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4.844,00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4.844,00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24.220,00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Escova dental adulto com cerdas firmes, não soltem ao manuseio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0,46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Escova dental infantil com cerdas firmes, não soltem ao manuseio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0,43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1.290,00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1.290,00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6.450,00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Escova de Robson, indicada para pré-polimento de resina na face oclusal, podendo ser utilizada com pasta de polimento e óleo mineral, plana, branca, para contra-ângulo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1,41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1.410,00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Escova de Robson, indicada para pré-polimento de resina na face oclusal, podendo ser utilizada com pasta de polimento e óleo mineral, cônica, branca, para contra-ângulo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1,41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282,00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1.410,00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Fio de sutura monofilamento preto de seda agulhado nº3 ( agulha 20mmX3/8).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Esterelizado, cx com 24 unidades.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33,80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5.070,00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5.070,00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25.350,00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80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Fio de sutura monofilamento preto nylon agulhado 05( agulha 20mmx 3/8) esterilizado, cx com 24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30,99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4.648,50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4.648,50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23.242,50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Fio dental 500m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6,17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617,00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617,00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3.085,00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Fio dental 25m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0,89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178,00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178,00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890,00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Flúor gel neutro para aplicação 1,23%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5,20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1.040,00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5.200,00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Fucsina básica 0,5% vidro com 500 ml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10,13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1.013,00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1.013,00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5.065,00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Gorro descartável, branco, tipo touca de banho, com elástico – pacote com 100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6,30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12.600,00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12.600,00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63.000,00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Lâmina de bisturi nº12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28,52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142,60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142,60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713,00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Lâmina de bisturi nº15 C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28,52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142,60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142,60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713,00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94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Luvas de procedimento de látex não estéril- extra-pequena, caixa com 100 unidades.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18,60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372.000,00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Luvas de procedimento de látex não estéril com pó - pequena, caixa com 100 unidades.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18,60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74.400,00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372.000,00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Máscara tripla proteção, com excelente filtração bacteriana e resistente a líquidos e com perfeita adaptação à face. Caixa com 50 unidades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5,60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2.800,00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2.800,00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14.000,00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Óleo lubrificante de pontas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17,17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1.717,00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1.717,00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8.585,00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99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Otosporim: Suspensão otológica – hidrocortisona 10 mg/mL + sulfato de neomicina 5 mg/mL + sulfato de polimixina B 10.000 UI/mL - embalagem contendo frasco gotejador com 10 mL.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13,28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398,40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398,40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1.992,00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Papel carbono para registro dos contatos oclusais – bloco com 12 folhas de carbono dupla face/dupla cor  100MC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1,88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376,00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376,00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1.880,00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Placa de vidro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7,50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Resina fotopolimerizável A3 Resina de compósito híbrido de partículas finas, com alto teor de carga e reforçado com nanopartículas, radiopaco e fotopolimerizável na cavidade dental ou em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modelos. Indicado para reconstruções diretas de classes I, II, III, IV e V,correções estéticas, restaurações indiretas incluindo inlays, onlays e facetas. Tamanho médio das partículas: 0,5 μm. Percentual médio de cargas em peso: aproximadamente 75%. Campo de aplicação: universal (anterior e posterior). Manipulação: excelente consistência, grande condensabilidade, altamente modelável e ótima estabilidade de cor. Composição Bis-GMA, Bis-EMA, UDMA, TEGMA, fotoiniciador, cargas e pigmentos.  Apresentação reposição 1 seringa com 4g, nas cores: esmalte: A1, A2, A3, A3,5, A4, B1, B2, B3, C1, C2, C3, C4, D3 dentina: A1 , A3, B2 e C2 incisal: I 01 Instrução de Uso 2. Técnicas de Aplicação Efetuar uma profilaxia no dente a ser tratado.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2000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4,15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41.500,00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114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Tira de lixa de aço para amálgama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7,45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745,00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745,00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3.725,00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Tira de lixa para polimento de resina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1,55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775,00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775,00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3.875,00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Tira matriz de aço 0,5mm x 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1,09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218,00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218,00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1.090,00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118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Verniz com fluoreto de sódio e cálcio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8,33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1.249,50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1.249,50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6.247,50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Alavanca seldin 1L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269,20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269,20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1.346,00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127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Aparelho fotopolimerizador sem fio, </w:t>
            </w:r>
            <w:r w:rsidRPr="004B258C">
              <w:rPr>
                <w:rFonts w:ascii="Verdana" w:hAnsi="Verdana" w:cs="Times New Roman"/>
                <w:color w:val="424242"/>
                <w:sz w:val="15"/>
                <w:szCs w:val="15"/>
              </w:rPr>
              <w:t xml:space="preserve">acionamento do aparelho (tipo gatilho), ajuste do tempo de ativação, seleção do modo de aplicação, 3 modos programáveis de aplicação: Contínuo: Máxima luminosidade do início ao fim da polimerização Rampa: Aumento gradual da intensidade da luz Pulsado: Acionamento pulsante com ciclos de 1x1 seg., Tempo de operação programável 5, 10, 15 e 20 segundos, Sinal sonoro BIP a cada 5 segundos. LED de alta </w:t>
            </w:r>
            <w:r w:rsidRPr="004B258C">
              <w:rPr>
                <w:rFonts w:ascii="Verdana" w:hAnsi="Verdana" w:cs="Times New Roman"/>
                <w:color w:val="424242"/>
                <w:sz w:val="15"/>
                <w:szCs w:val="15"/>
              </w:rPr>
              <w:lastRenderedPageBreak/>
              <w:t>potência. Comprimento de onda de 420nm a- 480nm. Eficiente acoplamento e distribuição óptica. Condutor de luz de fibra óptica 100% coerente. Autoclavável a 134ºC. Base de descanso com carregador de bateria. Com LED indicador de carga da bateria. Sistema stand-by. Desliga automaticamente após 3 minutos sem utilização. Bateria inteligente recarregável.Sistema inteligente de desligamento automático: a bateria desliga automaticamente em caso de subtensão, garantindo uma fotoativação segura. Sem necessidade de descarregar completamente para efetuar nova recarga.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3.150,00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6.300,00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31.500,00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135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Brunidor /condensador nº29/21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8,59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171,80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171,80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859,00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137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Cabo para espelho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200,70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200,70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1.003,50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Calcador hollenback nº2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635,21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6.352,10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6.352,10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31.760,50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145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 xml:space="preserve">CONJUNTO DE ALTA E BAIXA ROTAÇÃO COMPOSTO DE: CANETA DE ALTA ROTAÇÃO:Conexão tipo Borden, dois furos; corpo em alumínio anodizado natural; turbina balanceada com uma rotação de 400.000 rpm + ou – 15%; montada sobre anéis de borracha sintética; cabeça menor que os sistemas convencionais; spray triplo para refrigeração da broca; sistema para o operação de retirada ou colocação de brocas, com pressão mecânica sobre o conjunto interno da cabeça, o que elimina as inconveniências do saca-brocas, consumo de ar de 42,0 l/min + ou – 2 pressão de trabalho de 30 psi + ou – 2; acompanha borracha de vedação da conexão, agulha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 xml:space="preserve">para desobstrução do spray, óleo lubrificante; esterilização através de autoclave até 135º C e 2,2 bar. CONTRA-ÂNGULO: Sistema tipo intra; torque e rotação transmitidos à broca através de um conjunto de eixos e engrenagens com relação de transmissão 1:1; ângulo de 20º entre o eixo e o pescoço da cabeça; eixo principal de suporte de brocas apoiado sobre rolamentos de esferas; pinça mecânica; trava da broca por lâmina de aço temperada deslocável lateralmente em ângulo; pinça adaptadora de brocas tipo FG; dimensões reduzidas com fácil acesso a todo os quadrantes da cavidade oral; corpo em alumínio e latão, giro livre de 360º sobre o micromotor; sistema de refrigeração através de spray; esterilização através de autoclave até 135º C e 2,2 bar. MICROMOTOR: Conexão através de terminal tipo Bordem dois furos; sistema tipo intra com pino, trava simples e prática, tipo engate rápido, para conectar e desconectar a peça reta e o contra-ângulo; adaptador de pontas permite que os acessórios acoplados se tornem livres nos movimentos na mão do CD, e evita a tensão da mangueira; corpo em alumínio anodizado; anel regulador da rotação do micromotor possibilita a seleção de velocidade entre 3.000 e 18.000 rpm; inversão de rotação para a esquerda no anel; baixo ruído; sistema de refrigeração através de spray, consumo de </w:t>
            </w: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 xml:space="preserve">ar de 65,0 l/min e pressão de trabalho de 60 a 80 psi; acompanha borracha de vedação da conexão e óleo lubrificante; esterilização através de autoclave até 135º C e 2,2 bar.Todos os componentes do Kit deverão ter no mínimo 06 (seis) meses de garantia.Constar na proposta, abaixo de cada produto ofertado marca, modelo, número e data de vencimento do registro no MS/ANVISA e cópia da publicação no Diário Oficial da União - DOU relativo ao registro dos equipamentos ou o certificado de Isenção de registro quando houver e do Certificado de Boas Práticas de Fabricação e Controle de Produtos para Saúde.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15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345,07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5.176,05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5.176,05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75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25.880,25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lastRenderedPageBreak/>
              <w:t>151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Cureta de Gracey nº17/18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38,83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1.164,90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1.164,90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5.824,50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Cureta Goldman Fox nº 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38,83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1.164,90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1.164,90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5.824,50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Condensador duplo de amálgama nº2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26,17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785,10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785,10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3.925,50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Extrator Maccall nº11/12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nº101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171</w:t>
            </w:r>
          </w:p>
        </w:tc>
        <w:tc>
          <w:tcPr>
            <w:tcW w:w="1864" w:type="dxa"/>
            <w:shd w:val="clear" w:color="000000" w:fill="FFFFFF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nº150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nº151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nº16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174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nº17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infantil nº17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176</w:t>
            </w:r>
          </w:p>
        </w:tc>
        <w:tc>
          <w:tcPr>
            <w:tcW w:w="1864" w:type="dxa"/>
            <w:shd w:val="clear" w:color="000000" w:fill="FFFFFF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nº18L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nº18R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adulto nº69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nº65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infantil nº18L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181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infantil nº18R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58,92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1.767,60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8.838,00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182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Fórceps infantil nº69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167,19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3.343,80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3.343,80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16.719,00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Macro modelo de boca com língua e escova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350,00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3.500,00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3.500,00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17.500,00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Pinça para algodão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26,22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1.311,00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1.311,00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6.555,00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Pinça hemostáticas Kelly reta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26,17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1.308,50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1.308,50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6.542,50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188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Pinça hemostáticas Kelly curva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58,73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1.761,90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1.761,90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8.809,50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189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Periotomo simples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58,75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1.762,50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1.762,50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8.812,50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Ponta para aparelho fotopolimerizador universal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25,69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1.284,50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1.284,50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6.422,50</w:t>
            </w:r>
          </w:p>
        </w:tc>
      </w:tr>
      <w:tr w:rsidR="004B258C" w:rsidRPr="004B258C" w:rsidTr="00312C2E">
        <w:trPr>
          <w:trHeight w:val="2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197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both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Porta matriz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4B258C" w:rsidRPr="004B258C" w:rsidRDefault="004B258C" w:rsidP="004B258C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1,48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88,80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60</w:t>
            </w:r>
          </w:p>
        </w:tc>
        <w:tc>
          <w:tcPr>
            <w:tcW w:w="1029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88,80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4B258C" w:rsidRPr="004B258C" w:rsidRDefault="004B258C" w:rsidP="00312C2E">
            <w:pPr>
              <w:jc w:val="center"/>
              <w:rPr>
                <w:rFonts w:ascii="Verdana" w:hAnsi="Verdana" w:cs="Times New Roman"/>
                <w:color w:val="000000"/>
                <w:sz w:val="15"/>
                <w:szCs w:val="15"/>
              </w:rPr>
            </w:pPr>
            <w:r w:rsidRPr="004B258C">
              <w:rPr>
                <w:rFonts w:ascii="Verdana" w:hAnsi="Verdana" w:cs="Times New Roman"/>
                <w:color w:val="000000"/>
                <w:sz w:val="15"/>
                <w:szCs w:val="15"/>
              </w:rPr>
              <w:t>444,00</w:t>
            </w:r>
          </w:p>
        </w:tc>
      </w:tr>
    </w:tbl>
    <w:p w:rsidR="00961925" w:rsidRPr="00255344" w:rsidRDefault="00961925" w:rsidP="00961925">
      <w:pPr>
        <w:pStyle w:val="Corpodetexto"/>
        <w:tabs>
          <w:tab w:val="left" w:pos="4156"/>
          <w:tab w:val="left" w:pos="5426"/>
        </w:tabs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01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 OBJET</w:t>
      </w:r>
      <w:bookmarkStart w:id="0" w:name="_GoBack"/>
      <w:bookmarkEnd w:id="0"/>
      <w:r w:rsidRPr="00255344">
        <w:rPr>
          <w:rFonts w:ascii="Verdana" w:hAnsi="Verdana"/>
          <w:b/>
          <w:color w:val="000000"/>
          <w:sz w:val="23"/>
          <w:szCs w:val="23"/>
        </w:rPr>
        <w:t>O: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pStyle w:val="Recuodecorpodetexto"/>
        <w:spacing w:line="200" w:lineRule="atLeast"/>
        <w:ind w:firstLine="0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Os objetos do fornecimento são os produtos constantes dos anexos desta ata, em que são discriminados, a apresentação de cada produto, o consumo estimado e o prazo para entrega.</w:t>
      </w:r>
    </w:p>
    <w:p w:rsidR="00961925" w:rsidRPr="00255344" w:rsidRDefault="00961925" w:rsidP="00961925">
      <w:pPr>
        <w:pStyle w:val="Recuodecorpodetexto"/>
        <w:spacing w:line="200" w:lineRule="atLeast"/>
        <w:ind w:firstLine="0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6589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02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 VALIDADE DO REGISTRO DE PREÇOS</w:t>
      </w:r>
    </w:p>
    <w:p w:rsidR="00961925" w:rsidRPr="00255344" w:rsidRDefault="00961925" w:rsidP="00961925">
      <w:pPr>
        <w:tabs>
          <w:tab w:val="right" w:pos="6589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presente Ata de Registro de Preços terá a validade de 12 meses a partir da homologação do processo.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7944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03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 UTILIZAÇÃO DA ATA DE REGISTRO DE PREÇOS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2401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04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 PREÇO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2B7728" w:rsidRPr="00255344">
        <w:rPr>
          <w:rFonts w:ascii="Verdana" w:hAnsi="Verdana"/>
          <w:color w:val="000000"/>
          <w:sz w:val="23"/>
          <w:szCs w:val="23"/>
        </w:rPr>
        <w:t>078/2018</w:t>
      </w:r>
      <w:r w:rsidRPr="00255344">
        <w:rPr>
          <w:rFonts w:ascii="Verdana" w:hAnsi="Verdana"/>
          <w:color w:val="000000"/>
          <w:sz w:val="23"/>
          <w:szCs w:val="23"/>
        </w:rPr>
        <w:t>.</w:t>
      </w:r>
    </w:p>
    <w:p w:rsidR="00961925" w:rsidRPr="00255344" w:rsidRDefault="00961925" w:rsidP="00961925">
      <w:pPr>
        <w:tabs>
          <w:tab w:val="right" w:pos="912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912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2B7728" w:rsidRPr="00255344">
        <w:rPr>
          <w:rFonts w:ascii="Verdana" w:hAnsi="Verdana"/>
          <w:color w:val="000000"/>
          <w:sz w:val="23"/>
          <w:szCs w:val="23"/>
        </w:rPr>
        <w:t>078/2018</w:t>
      </w:r>
      <w:r w:rsidRPr="00255344">
        <w:rPr>
          <w:rFonts w:ascii="Verdana" w:hAnsi="Verdana"/>
          <w:color w:val="000000"/>
          <w:sz w:val="23"/>
          <w:szCs w:val="23"/>
        </w:rPr>
        <w:t>, que integra o presente instrumento de compromisso.</w:t>
      </w:r>
    </w:p>
    <w:p w:rsidR="00961925" w:rsidRPr="00255344" w:rsidRDefault="00961925" w:rsidP="00961925">
      <w:pPr>
        <w:tabs>
          <w:tab w:val="right" w:pos="9106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9106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Em cada fornecimento, o preço unitário a ser pago será o constante das propostas apresentadas, no Pregão nº </w:t>
      </w:r>
      <w:r w:rsidR="002B7728" w:rsidRPr="00255344">
        <w:rPr>
          <w:rFonts w:ascii="Verdana" w:hAnsi="Verdana"/>
          <w:color w:val="000000"/>
          <w:sz w:val="23"/>
          <w:szCs w:val="23"/>
        </w:rPr>
        <w:t>078/2018</w:t>
      </w:r>
      <w:r w:rsidRPr="00255344">
        <w:rPr>
          <w:rFonts w:ascii="Verdana" w:hAnsi="Verdana"/>
          <w:color w:val="000000"/>
          <w:sz w:val="23"/>
          <w:szCs w:val="23"/>
        </w:rPr>
        <w:t xml:space="preserve"> pelas empresas detentoras da presente Ata, as quais também a integram.</w:t>
      </w:r>
    </w:p>
    <w:p w:rsidR="00961925" w:rsidRPr="00255344" w:rsidRDefault="00961925" w:rsidP="00961925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50"/>
          <w:tab w:val="left" w:leader="dot" w:pos="5971"/>
          <w:tab w:val="right" w:pos="6021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05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 LOCAL E PRAZO DE ENTREGA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Em cada fornecimento, o prazo de entrega do produto será o constante dos anexos desta, e será contado a partir da Ordem de Fornecimento.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lastRenderedPageBreak/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 local da entrega, em cada fornecimento, será o constante da Ordem de Fornecimento.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3229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06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 PAGAMENTO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255344">
        <w:rPr>
          <w:rFonts w:ascii="Verdana" w:hAnsi="Verdana"/>
          <w:bCs/>
          <w:color w:val="000000"/>
          <w:sz w:val="23"/>
          <w:szCs w:val="23"/>
        </w:rPr>
        <w:t xml:space="preserve">em até 30 (trinta) dias após recebimento </w:t>
      </w:r>
      <w:r w:rsidRPr="00255344">
        <w:rPr>
          <w:rFonts w:ascii="Verdana" w:hAnsi="Verdana"/>
          <w:color w:val="000000"/>
          <w:sz w:val="23"/>
          <w:szCs w:val="23"/>
        </w:rPr>
        <w:t>definitivo pela unidade requisitante</w:t>
      </w:r>
      <w:r w:rsidRPr="00255344">
        <w:rPr>
          <w:rFonts w:ascii="Verdana" w:hAnsi="Verdana"/>
          <w:bCs/>
          <w:color w:val="000000"/>
          <w:sz w:val="23"/>
          <w:szCs w:val="23"/>
        </w:rPr>
        <w:t xml:space="preserve"> do objeto, </w:t>
      </w:r>
      <w:r w:rsidRPr="00255344">
        <w:rPr>
          <w:rFonts w:ascii="Verdana" w:hAnsi="Verdana"/>
          <w:color w:val="000000"/>
          <w:sz w:val="23"/>
          <w:szCs w:val="23"/>
        </w:rPr>
        <w:t>mediante apresentação da Nota Fiscal.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 -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 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I= (TX/100)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EM = I x N x VP, onde: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= Índice de atualização financeira;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TX = Percentual da taxa de juros de mora anual;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EM = Encargos moratórios;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N = Número de dias entre a data prevista para o pagamento e a do efetivo pagamento;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VP = Valor da parcela em atraso. 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6375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07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DAS CONDIÇÕES DE FORNECIMENTO</w:t>
      </w:r>
    </w:p>
    <w:p w:rsidR="00961925" w:rsidRPr="00255344" w:rsidRDefault="00961925" w:rsidP="00961925">
      <w:pPr>
        <w:tabs>
          <w:tab w:val="right" w:pos="637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lastRenderedPageBreak/>
        <w:t xml:space="preserve">IV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Os produtos deverão ser entregues acompanhados da Nota Fiscal ou Nota Fiscal Fatura, conforme o caso.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V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VI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VII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As empresas detentoras da presente ata ficam obrigadas a aceitar o acréscimo de até vinte e cinco por cento nas quantidades estimadas.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VIII – Apresentar a atualização, a cada 180 dias, da Certidão Negativa de Débito Trabalhista (CNDT) referida na Lei nº 12.440 de 07.07.2011.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92"/>
          <w:tab w:val="right" w:pos="4024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08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DAS PENALIDADES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124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I - Recusando-se a vencedora a assinatura da ata sem motivo justificado, caracterizará o descumprimento total da obrigação assumida, sujeitando-se á multa equivalente a 10% do valor de sua proposta, sem prejuízo da aplicação da sanção administrativa de suspensão temporária do direito de licitar pelo prazo de até cinco anos.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II - Em caso de inexecução parcial ou total das condições fixadas no contrato, erros ou atrasos no cumprimento do contrato, infringência do art. 71 da Lei Federal 8.666/93 e quaisquer outras irregularidades, a Administração poderá, garantida a prévia defesa, aplicar ao contratado as seguintes sanções: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A) Advertência;</w:t>
      </w:r>
    </w:p>
    <w:p w:rsidR="00961925" w:rsidRPr="00255344" w:rsidRDefault="00961925" w:rsidP="00961925">
      <w:pPr>
        <w:pStyle w:val="Recuodecorpodetexto34"/>
        <w:spacing w:after="0" w:line="200" w:lineRule="atLeast"/>
        <w:ind w:left="0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B) Multa de 0,3% (três décimos por cento) por dia, até o 10</w:t>
      </w:r>
      <w:r w:rsidRPr="00255344">
        <w:rPr>
          <w:rFonts w:ascii="Verdana" w:hAnsi="Verdana" w:cs="Arial"/>
          <w:color w:val="000000"/>
          <w:sz w:val="23"/>
          <w:szCs w:val="23"/>
          <w:u w:val="single"/>
          <w:vertAlign w:val="superscript"/>
        </w:rPr>
        <w:t>o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 (décimo) dia de atraso, da entrega do produto, sobre o valor da parcela, por ocorrência;</w:t>
      </w:r>
    </w:p>
    <w:p w:rsidR="00961925" w:rsidRPr="0025534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C) Multa de 20% (vinte por cento) sobre o valor do saldo do valor do contrato, no caso de atraso superior a 10 (dez) dias, com a consequente rescisão contratual, quando for o caso;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D) Multa de 20% (vinte por cento) sobre o valor do contrato, nos casos: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a) inobservância do nível de qualidade dos fornecimentos;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b) transferência total ou parcial do contrato a terceiros;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c) subcontratação no todo ou em parte do objeto sem prévia autorização formal da Contratante;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d) descumprimento de cláusula contratual.</w:t>
      </w:r>
    </w:p>
    <w:p w:rsidR="00961925" w:rsidRPr="00255344" w:rsidRDefault="00961925" w:rsidP="00961925">
      <w:pPr>
        <w:tabs>
          <w:tab w:val="center" w:pos="2268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center" w:pos="2268"/>
        </w:tabs>
        <w:spacing w:line="200" w:lineRule="atLeast"/>
        <w:jc w:val="both"/>
        <w:rPr>
          <w:rFonts w:ascii="Verdana" w:hAnsi="Verdana"/>
          <w:bCs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III - </w:t>
      </w:r>
      <w:r w:rsidRPr="00255344">
        <w:rPr>
          <w:rFonts w:ascii="Verdana" w:hAnsi="Verdana"/>
          <w:bCs/>
          <w:color w:val="000000"/>
          <w:sz w:val="23"/>
          <w:szCs w:val="23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IV - Declaração de inidoneidade para licitar ou contratar com a Administração Pública, enquanto perdurarem os motivos determinantes da punição ou até que o contratante promova sua reabilitação.</w:t>
      </w:r>
    </w:p>
    <w:p w:rsidR="00961925" w:rsidRPr="00255344" w:rsidRDefault="00961925" w:rsidP="00961925">
      <w:pPr>
        <w:pStyle w:val="Corpodetexto"/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V - 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:rsidR="00961925" w:rsidRPr="00255344" w:rsidRDefault="00961925" w:rsidP="00961925">
      <w:pPr>
        <w:pStyle w:val="Preformatted"/>
        <w:tabs>
          <w:tab w:val="clear" w:pos="9590"/>
          <w:tab w:val="left" w:pos="7230"/>
        </w:tabs>
        <w:spacing w:line="200" w:lineRule="atLeast"/>
        <w:jc w:val="both"/>
        <w:rPr>
          <w:rFonts w:ascii="Verdana" w:hAnsi="Verdana" w:cs="Arial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6019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09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DOS REAJUSTAMENTOS DE PREÇOS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2B7728" w:rsidRPr="00255344">
        <w:rPr>
          <w:rFonts w:ascii="Verdana" w:hAnsi="Verdana"/>
          <w:color w:val="000000"/>
          <w:sz w:val="23"/>
          <w:szCs w:val="23"/>
        </w:rPr>
        <w:t>078/2018</w:t>
      </w:r>
      <w:r w:rsidRPr="00255344">
        <w:rPr>
          <w:rFonts w:ascii="Verdana" w:hAnsi="Verdana"/>
          <w:color w:val="000000"/>
          <w:sz w:val="23"/>
          <w:szCs w:val="23"/>
        </w:rPr>
        <w:t>, que integra a presente Ata de Registro de Preços, ressalvados os casos de revisão de registro a que se refere o Decreto instituidor do Registro de preços.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10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DAS CONDIÇÕES DE RECEBIMENTO DO OBJETO DA ATA DE REGISTRO DE PREÇOS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lastRenderedPageBreak/>
        <w:t xml:space="preserve">II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cada fornecimento serão emitidos recibos, nos termos do art. 73, II, “a” e “b”, da Lei Federal 8.666/93.</w:t>
      </w:r>
    </w:p>
    <w:p w:rsidR="00961925" w:rsidRPr="00255344" w:rsidRDefault="00961925" w:rsidP="00961925">
      <w:pPr>
        <w:tabs>
          <w:tab w:val="right" w:pos="851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8512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11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DO CANCELAMENTO DA ATA DE REGISTRO DE PREÇOS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I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presente Ata de Registro de Preços poderá ser cancelada, de pleno direito:</w:t>
      </w:r>
    </w:p>
    <w:p w:rsidR="00961925" w:rsidRPr="00255344" w:rsidRDefault="00961925" w:rsidP="00961925">
      <w:pPr>
        <w:tabs>
          <w:tab w:val="left" w:pos="226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226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>Pela Administração, quando:</w:t>
      </w: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A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detentora não cumprir as obrigações constantes desta Ata de Registro de Preços;</w:t>
      </w: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B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detentora não retirar qualquer Ordem de Fornecimento, no prazo estabelecido, e a Administração não aceitar sua justificativa;</w:t>
      </w: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C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detentora der causa a rescisão administrativa de contrato decorrente de registro de preços, a critério da Administração;</w:t>
      </w: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D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961925" w:rsidRPr="00255344" w:rsidRDefault="00961925" w:rsidP="00961925">
      <w:pPr>
        <w:tabs>
          <w:tab w:val="right" w:pos="8371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8371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E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os preços registrados se apresentarem superiores aos praticados no mercado;</w:t>
      </w: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5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F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por razões de interesse público devidamente demonstradas e justificadas pela Administração;</w:t>
      </w:r>
    </w:p>
    <w:p w:rsidR="00961925" w:rsidRPr="00255344" w:rsidRDefault="00961925" w:rsidP="00961925">
      <w:pPr>
        <w:pStyle w:val="Recuodecorpodetexto"/>
        <w:spacing w:line="200" w:lineRule="atLeast"/>
        <w:ind w:firstLine="0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Recuodecorpodetexto"/>
        <w:spacing w:line="200" w:lineRule="atLeast"/>
        <w:ind w:firstLine="0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G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961925" w:rsidRPr="00255344" w:rsidRDefault="00961925" w:rsidP="00961925">
      <w:pPr>
        <w:pStyle w:val="Recuodecorpodetexto23"/>
        <w:spacing w:after="0" w:line="200" w:lineRule="atLeast"/>
        <w:ind w:left="0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b/>
          <w:color w:val="000000"/>
          <w:sz w:val="23"/>
          <w:szCs w:val="23"/>
        </w:rPr>
        <w:t>Pelas detentoras, quando</w:t>
      </w:r>
      <w:r w:rsidRPr="00255344">
        <w:rPr>
          <w:rFonts w:ascii="Verdana" w:hAnsi="Verdana" w:cs="Arial"/>
          <w:color w:val="000000"/>
          <w:sz w:val="23"/>
          <w:szCs w:val="23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961925" w:rsidRPr="0025534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left" w:pos="717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A </w:t>
      </w:r>
      <w:r w:rsidRPr="00255344">
        <w:rPr>
          <w:rFonts w:ascii="Verdana" w:hAnsi="Verdana"/>
          <w:color w:val="000000"/>
          <w:sz w:val="23"/>
          <w:szCs w:val="23"/>
        </w:rPr>
        <w:noBreakHyphen/>
        <w:t xml:space="preserve"> a solicitação das detentoras para cancelamento dos preços registrados deverá ser formulada com a antecedência de 30 (trinta) dias, facultada a </w:t>
      </w:r>
      <w:r w:rsidRPr="00255344">
        <w:rPr>
          <w:rFonts w:ascii="Verdana" w:hAnsi="Verdana"/>
          <w:color w:val="000000"/>
          <w:sz w:val="23"/>
          <w:szCs w:val="23"/>
        </w:rPr>
        <w:lastRenderedPageBreak/>
        <w:t>Administração a aplicação das penalidades previstas na Cláusula VIII, caso não aceitas as razões do pedido.</w:t>
      </w:r>
    </w:p>
    <w:p w:rsidR="00961925" w:rsidRPr="00255344" w:rsidRDefault="00961925" w:rsidP="00961925">
      <w:pPr>
        <w:tabs>
          <w:tab w:val="right" w:pos="6945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6945"/>
        </w:tabs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 xml:space="preserve">12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  <w:t xml:space="preserve"> DA AUTORIZAÇÃO PARA FORNECIMENTO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I</w:t>
      </w:r>
      <w:r w:rsidRPr="00255344">
        <w:rPr>
          <w:rFonts w:ascii="Verdana" w:hAnsi="Verdana"/>
          <w:b/>
          <w:color w:val="000000"/>
          <w:sz w:val="23"/>
          <w:szCs w:val="23"/>
        </w:rPr>
        <w:t xml:space="preserve"> </w:t>
      </w:r>
      <w:r w:rsidRPr="00255344">
        <w:rPr>
          <w:rFonts w:ascii="Verdana" w:hAnsi="Verdana"/>
          <w:b/>
          <w:color w:val="000000"/>
          <w:sz w:val="23"/>
          <w:szCs w:val="23"/>
        </w:rPr>
        <w:noBreakHyphen/>
      </w:r>
      <w:r w:rsidRPr="00255344">
        <w:rPr>
          <w:rFonts w:ascii="Verdana" w:hAnsi="Verdana"/>
          <w:color w:val="000000"/>
          <w:sz w:val="23"/>
          <w:szCs w:val="23"/>
        </w:rPr>
        <w:t xml:space="preserve"> As aquisições do objeto da presente Ata de Registro de Preços serão autorizadas, caso a caso, pela Secretaria requisitante.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b/>
          <w:color w:val="000000"/>
          <w:sz w:val="23"/>
          <w:szCs w:val="23"/>
        </w:rPr>
      </w:pPr>
      <w:r w:rsidRPr="00255344">
        <w:rPr>
          <w:rFonts w:ascii="Verdana" w:hAnsi="Verdana"/>
          <w:b/>
          <w:color w:val="000000"/>
          <w:sz w:val="23"/>
          <w:szCs w:val="23"/>
        </w:rPr>
        <w:t>13- DAS DISPOSIÇÕES FINAIS</w:t>
      </w:r>
    </w:p>
    <w:p w:rsidR="00961925" w:rsidRPr="00255344" w:rsidRDefault="00961925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 xml:space="preserve">14.1. Integram esta Ata, o edital do Pregão nº </w:t>
      </w:r>
      <w:r w:rsidR="002B7728" w:rsidRPr="00255344">
        <w:rPr>
          <w:rFonts w:ascii="Verdana" w:hAnsi="Verdana" w:cs="Arial"/>
          <w:color w:val="000000"/>
          <w:sz w:val="23"/>
          <w:szCs w:val="23"/>
        </w:rPr>
        <w:t>078/2018</w:t>
      </w:r>
      <w:r w:rsidRPr="00255344">
        <w:rPr>
          <w:rFonts w:ascii="Verdana" w:hAnsi="Verdana" w:cs="Arial"/>
          <w:color w:val="000000"/>
          <w:sz w:val="23"/>
          <w:szCs w:val="23"/>
        </w:rPr>
        <w:t xml:space="preserve"> e as propostas das empresas classificadas no certame supranumerado.</w:t>
      </w:r>
    </w:p>
    <w:p w:rsidR="00961925" w:rsidRPr="00255344" w:rsidRDefault="00961925" w:rsidP="00961925">
      <w:pPr>
        <w:tabs>
          <w:tab w:val="right" w:pos="911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tabs>
          <w:tab w:val="right" w:pos="911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14.2. Fica eleito o foro desta Comarca de Pitangui/MG para dirimir quaisquer questões decorrentes da utilização da presente Ata.</w:t>
      </w:r>
    </w:p>
    <w:p w:rsidR="00961925" w:rsidRPr="00255344" w:rsidRDefault="00961925" w:rsidP="00961925">
      <w:pPr>
        <w:tabs>
          <w:tab w:val="right" w:pos="9112"/>
        </w:tabs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>14.3. Os casos omissos serão resolvidos de acordo com a Lei Federal 8.666/93, Lei 10.520/02 e demais normas aplicáveis. Subsidiariamente, aplicar-se-ão os princípios gerais de Direito.</w:t>
      </w: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center"/>
        <w:rPr>
          <w:rFonts w:ascii="Verdana" w:hAnsi="Verdana"/>
          <w:color w:val="000000"/>
          <w:sz w:val="23"/>
          <w:szCs w:val="23"/>
        </w:rPr>
      </w:pPr>
    </w:p>
    <w:p w:rsidR="00961925" w:rsidRPr="00255344" w:rsidRDefault="00961925" w:rsidP="00961925">
      <w:pPr>
        <w:spacing w:line="200" w:lineRule="atLeast"/>
        <w:jc w:val="both"/>
        <w:rPr>
          <w:rFonts w:ascii="Verdana" w:hAnsi="Verdana"/>
          <w:color w:val="000000"/>
          <w:sz w:val="23"/>
          <w:szCs w:val="23"/>
        </w:rPr>
      </w:pPr>
      <w:r w:rsidRPr="00255344">
        <w:rPr>
          <w:rFonts w:ascii="Verdana" w:hAnsi="Verdana"/>
          <w:color w:val="000000"/>
          <w:sz w:val="23"/>
          <w:szCs w:val="23"/>
        </w:rPr>
        <w:t xml:space="preserve">Papagaios, </w:t>
      </w:r>
      <w:r w:rsidR="00DA2DFF">
        <w:rPr>
          <w:rFonts w:ascii="Verdana" w:hAnsi="Verdana"/>
          <w:color w:val="000000"/>
          <w:sz w:val="23"/>
          <w:szCs w:val="23"/>
        </w:rPr>
        <w:t>09 de janeiro de 2019.</w:t>
      </w: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both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 xml:space="preserve">Município de Papagaios/MG  </w:t>
      </w: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  <w:r w:rsidRPr="00255344">
        <w:rPr>
          <w:rFonts w:ascii="Verdana" w:hAnsi="Verdana" w:cs="Arial"/>
          <w:color w:val="000000"/>
          <w:sz w:val="23"/>
          <w:szCs w:val="23"/>
        </w:rPr>
        <w:t>Mário Reis Filgueiras</w:t>
      </w: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</w:p>
    <w:p w:rsidR="00961925" w:rsidRPr="00255344" w:rsidRDefault="005C0116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23"/>
          <w:szCs w:val="23"/>
        </w:rPr>
        <w:t>Dental Prime – Produtos Odontológicos Médicos Hospitalares Eireli</w:t>
      </w:r>
    </w:p>
    <w:p w:rsidR="00961925" w:rsidRPr="00255344" w:rsidRDefault="00DA2DFF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23"/>
          <w:szCs w:val="23"/>
        </w:rPr>
        <w:t xml:space="preserve">CNPJ/MF </w:t>
      </w:r>
      <w:r w:rsidR="005C0116">
        <w:rPr>
          <w:rFonts w:ascii="Verdana" w:hAnsi="Verdana" w:cs="Arial"/>
          <w:color w:val="000000"/>
          <w:sz w:val="23"/>
          <w:szCs w:val="23"/>
        </w:rPr>
        <w:t>21.504.525/0001-34</w:t>
      </w:r>
    </w:p>
    <w:p w:rsidR="00961925" w:rsidRPr="00255344" w:rsidRDefault="00961925" w:rsidP="00961925">
      <w:pPr>
        <w:pStyle w:val="Corpodetexto"/>
        <w:spacing w:after="0" w:line="200" w:lineRule="atLeast"/>
        <w:jc w:val="center"/>
        <w:rPr>
          <w:rFonts w:ascii="Verdana" w:hAnsi="Verdana" w:cs="Arial"/>
          <w:color w:val="000000"/>
          <w:sz w:val="23"/>
          <w:szCs w:val="23"/>
        </w:rPr>
      </w:pPr>
    </w:p>
    <w:sectPr w:rsidR="00961925" w:rsidRPr="00255344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42" w:rsidRDefault="00414742">
      <w:r>
        <w:separator/>
      </w:r>
    </w:p>
  </w:endnote>
  <w:endnote w:type="continuationSeparator" w:id="0">
    <w:p w:rsidR="00414742" w:rsidRDefault="0041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18" w:rsidRDefault="007F6918">
    <w:pPr>
      <w:pStyle w:val="Rodap"/>
      <w:ind w:left="-142"/>
      <w:rPr>
        <w:sz w:val="24"/>
      </w:rPr>
    </w:pPr>
    <w:r>
      <w:t>AV. FRANCISCO VALADARES DA FONSECA, 250 PABX (37)3274-1260 – CENTRO –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42" w:rsidRDefault="00414742">
      <w:r>
        <w:separator/>
      </w:r>
    </w:p>
  </w:footnote>
  <w:footnote w:type="continuationSeparator" w:id="0">
    <w:p w:rsidR="00414742" w:rsidRDefault="0041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7F6918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F6918" w:rsidRDefault="007F6918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F6918" w:rsidRDefault="007F6918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7F6918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6918" w:rsidRDefault="007F6918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6918" w:rsidRDefault="007F6918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7F6918" w:rsidRDefault="007F6918">
    <w:pPr>
      <w:pStyle w:val="Cabealho"/>
    </w:pPr>
    <w:r>
      <w:rPr>
        <w:noProof/>
        <w:lang w:eastAsia="pt-BR"/>
      </w:rPr>
      <w:drawing>
        <wp:anchor distT="0" distB="0" distL="114300" distR="123190" simplePos="0" relativeHeight="101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0" b="0"/>
          <wp:wrapNone/>
          <wp:docPr id="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E5E7B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43C442D4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>
    <w:nsid w:val="041D097D"/>
    <w:multiLevelType w:val="hybridMultilevel"/>
    <w:tmpl w:val="69E033B0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6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71952DB"/>
    <w:multiLevelType w:val="hybridMultilevel"/>
    <w:tmpl w:val="CDF25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27592"/>
    <w:multiLevelType w:val="hybridMultilevel"/>
    <w:tmpl w:val="5AC25C94"/>
    <w:lvl w:ilvl="0" w:tplc="0756A73A">
      <w:start w:val="1"/>
      <w:numFmt w:val="decimal"/>
      <w:lvlText w:val="%1."/>
      <w:lvlJc w:val="left"/>
      <w:pPr>
        <w:tabs>
          <w:tab w:val="num" w:pos="1004"/>
        </w:tabs>
        <w:ind w:left="22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245D2AA4"/>
    <w:multiLevelType w:val="hybridMultilevel"/>
    <w:tmpl w:val="0CAC8308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>
    <w:nsid w:val="28D77FC9"/>
    <w:multiLevelType w:val="multilevel"/>
    <w:tmpl w:val="E0CED0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9F763F"/>
    <w:multiLevelType w:val="hybridMultilevel"/>
    <w:tmpl w:val="2C066D24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4">
    <w:nsid w:val="35203C9C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8744B6"/>
    <w:multiLevelType w:val="hybridMultilevel"/>
    <w:tmpl w:val="59AA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30613"/>
    <w:multiLevelType w:val="multilevel"/>
    <w:tmpl w:val="D4462732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C66F17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BC4522"/>
    <w:multiLevelType w:val="multilevel"/>
    <w:tmpl w:val="32288B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A11405C"/>
    <w:multiLevelType w:val="multilevel"/>
    <w:tmpl w:val="3FE49B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AB701A2"/>
    <w:multiLevelType w:val="hybridMultilevel"/>
    <w:tmpl w:val="B3E840F0"/>
    <w:lvl w:ilvl="0" w:tplc="23E457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C4C58"/>
    <w:multiLevelType w:val="multilevel"/>
    <w:tmpl w:val="14C672F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B0513"/>
    <w:multiLevelType w:val="multilevel"/>
    <w:tmpl w:val="D1FAED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FAC705D"/>
    <w:multiLevelType w:val="hybridMultilevel"/>
    <w:tmpl w:val="5248EEC8"/>
    <w:lvl w:ilvl="0" w:tplc="0756A73A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3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7"/>
  </w:num>
  <w:num w:numId="3">
    <w:abstractNumId w:val="2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13"/>
  </w:num>
  <w:num w:numId="13">
    <w:abstractNumId w:val="28"/>
  </w:num>
  <w:num w:numId="14">
    <w:abstractNumId w:val="17"/>
  </w:num>
  <w:num w:numId="15">
    <w:abstractNumId w:val="14"/>
  </w:num>
  <w:num w:numId="16">
    <w:abstractNumId w:val="16"/>
  </w:num>
  <w:num w:numId="17">
    <w:abstractNumId w:val="9"/>
  </w:num>
  <w:num w:numId="18">
    <w:abstractNumId w:val="5"/>
  </w:num>
  <w:num w:numId="19">
    <w:abstractNumId w:val="10"/>
  </w:num>
  <w:num w:numId="20">
    <w:abstractNumId w:val="12"/>
  </w:num>
  <w:num w:numId="21">
    <w:abstractNumId w:val="23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>
    <w:abstractNumId w:val="6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26"/>
  </w:num>
  <w:num w:numId="28">
    <w:abstractNumId w:val="11"/>
  </w:num>
  <w:num w:numId="29">
    <w:abstractNumId w:val="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E3"/>
    <w:rsid w:val="00003AA2"/>
    <w:rsid w:val="0002060E"/>
    <w:rsid w:val="00026B1B"/>
    <w:rsid w:val="000417AD"/>
    <w:rsid w:val="00044035"/>
    <w:rsid w:val="0005239B"/>
    <w:rsid w:val="0005728F"/>
    <w:rsid w:val="0006281E"/>
    <w:rsid w:val="00071E54"/>
    <w:rsid w:val="000770C1"/>
    <w:rsid w:val="00083DD1"/>
    <w:rsid w:val="0008701C"/>
    <w:rsid w:val="00095633"/>
    <w:rsid w:val="000E427B"/>
    <w:rsid w:val="000E479B"/>
    <w:rsid w:val="0010144B"/>
    <w:rsid w:val="001A15A9"/>
    <w:rsid w:val="001A5F93"/>
    <w:rsid w:val="001B5D1E"/>
    <w:rsid w:val="001D46C5"/>
    <w:rsid w:val="00200713"/>
    <w:rsid w:val="00210FD8"/>
    <w:rsid w:val="00247BEF"/>
    <w:rsid w:val="00255344"/>
    <w:rsid w:val="0027092D"/>
    <w:rsid w:val="002770C2"/>
    <w:rsid w:val="002A01B8"/>
    <w:rsid w:val="002B7728"/>
    <w:rsid w:val="002C36F6"/>
    <w:rsid w:val="002C5D24"/>
    <w:rsid w:val="002D7D17"/>
    <w:rsid w:val="00301908"/>
    <w:rsid w:val="00305E4E"/>
    <w:rsid w:val="003102B1"/>
    <w:rsid w:val="00312C2E"/>
    <w:rsid w:val="003209D5"/>
    <w:rsid w:val="003243CA"/>
    <w:rsid w:val="003457EA"/>
    <w:rsid w:val="00346EE3"/>
    <w:rsid w:val="0039711B"/>
    <w:rsid w:val="003B0F42"/>
    <w:rsid w:val="003C5BCC"/>
    <w:rsid w:val="003C6857"/>
    <w:rsid w:val="003C72FB"/>
    <w:rsid w:val="003D1005"/>
    <w:rsid w:val="003F46E8"/>
    <w:rsid w:val="003F55D1"/>
    <w:rsid w:val="004114C2"/>
    <w:rsid w:val="00414742"/>
    <w:rsid w:val="004526D9"/>
    <w:rsid w:val="004539B5"/>
    <w:rsid w:val="00460ED7"/>
    <w:rsid w:val="004868C0"/>
    <w:rsid w:val="004A0C06"/>
    <w:rsid w:val="004B258C"/>
    <w:rsid w:val="004E220D"/>
    <w:rsid w:val="004E6A8A"/>
    <w:rsid w:val="004F10A0"/>
    <w:rsid w:val="004F29E5"/>
    <w:rsid w:val="004F42C4"/>
    <w:rsid w:val="004F7F5C"/>
    <w:rsid w:val="005012C1"/>
    <w:rsid w:val="005101A8"/>
    <w:rsid w:val="005937A6"/>
    <w:rsid w:val="005A0CC7"/>
    <w:rsid w:val="005A3440"/>
    <w:rsid w:val="005C0116"/>
    <w:rsid w:val="005E4232"/>
    <w:rsid w:val="005F7E83"/>
    <w:rsid w:val="00614622"/>
    <w:rsid w:val="00647358"/>
    <w:rsid w:val="00656F20"/>
    <w:rsid w:val="0066409A"/>
    <w:rsid w:val="006709C5"/>
    <w:rsid w:val="00694DC5"/>
    <w:rsid w:val="006A06B2"/>
    <w:rsid w:val="006C3979"/>
    <w:rsid w:val="006E6F38"/>
    <w:rsid w:val="006E7153"/>
    <w:rsid w:val="006F2F8D"/>
    <w:rsid w:val="006F7B8E"/>
    <w:rsid w:val="007301AD"/>
    <w:rsid w:val="0075147A"/>
    <w:rsid w:val="00764C26"/>
    <w:rsid w:val="00765FCA"/>
    <w:rsid w:val="0077017E"/>
    <w:rsid w:val="00775080"/>
    <w:rsid w:val="00775184"/>
    <w:rsid w:val="00777A1B"/>
    <w:rsid w:val="00781F43"/>
    <w:rsid w:val="00790E98"/>
    <w:rsid w:val="00796EC9"/>
    <w:rsid w:val="007B5DF6"/>
    <w:rsid w:val="007E65F8"/>
    <w:rsid w:val="007E7333"/>
    <w:rsid w:val="007F6918"/>
    <w:rsid w:val="008020A0"/>
    <w:rsid w:val="00804E05"/>
    <w:rsid w:val="00816A61"/>
    <w:rsid w:val="00823D9E"/>
    <w:rsid w:val="00853118"/>
    <w:rsid w:val="008537C3"/>
    <w:rsid w:val="00865AE6"/>
    <w:rsid w:val="008702B7"/>
    <w:rsid w:val="008763DC"/>
    <w:rsid w:val="00891BB4"/>
    <w:rsid w:val="008A4BCA"/>
    <w:rsid w:val="008E594C"/>
    <w:rsid w:val="00934867"/>
    <w:rsid w:val="009615FB"/>
    <w:rsid w:val="00961925"/>
    <w:rsid w:val="00980456"/>
    <w:rsid w:val="009B1C3D"/>
    <w:rsid w:val="009C09EF"/>
    <w:rsid w:val="00A15133"/>
    <w:rsid w:val="00A23322"/>
    <w:rsid w:val="00A309C3"/>
    <w:rsid w:val="00A31AC8"/>
    <w:rsid w:val="00A33EC6"/>
    <w:rsid w:val="00A61E0C"/>
    <w:rsid w:val="00A644AA"/>
    <w:rsid w:val="00A71E72"/>
    <w:rsid w:val="00AC65DE"/>
    <w:rsid w:val="00AD0F4F"/>
    <w:rsid w:val="00AD2662"/>
    <w:rsid w:val="00B00BE4"/>
    <w:rsid w:val="00B27EB9"/>
    <w:rsid w:val="00B328B9"/>
    <w:rsid w:val="00B92C88"/>
    <w:rsid w:val="00BA129C"/>
    <w:rsid w:val="00BA3FC8"/>
    <w:rsid w:val="00BA623F"/>
    <w:rsid w:val="00BD06EE"/>
    <w:rsid w:val="00C31066"/>
    <w:rsid w:val="00C443F5"/>
    <w:rsid w:val="00C513D4"/>
    <w:rsid w:val="00C80443"/>
    <w:rsid w:val="00CD19D5"/>
    <w:rsid w:val="00CE7F25"/>
    <w:rsid w:val="00D17C0D"/>
    <w:rsid w:val="00D358F0"/>
    <w:rsid w:val="00D55E83"/>
    <w:rsid w:val="00DA2DFF"/>
    <w:rsid w:val="00DC18A7"/>
    <w:rsid w:val="00DE2653"/>
    <w:rsid w:val="00DE3EED"/>
    <w:rsid w:val="00DE67DD"/>
    <w:rsid w:val="00DF1244"/>
    <w:rsid w:val="00DF46D5"/>
    <w:rsid w:val="00E548A9"/>
    <w:rsid w:val="00E83D4F"/>
    <w:rsid w:val="00E9646E"/>
    <w:rsid w:val="00EB2761"/>
    <w:rsid w:val="00ED2FD2"/>
    <w:rsid w:val="00EE128B"/>
    <w:rsid w:val="00F04523"/>
    <w:rsid w:val="00F07077"/>
    <w:rsid w:val="00F1182B"/>
    <w:rsid w:val="00F255A0"/>
    <w:rsid w:val="00F263B2"/>
    <w:rsid w:val="00F27DCE"/>
    <w:rsid w:val="00F32291"/>
    <w:rsid w:val="00F71E73"/>
    <w:rsid w:val="00F858CD"/>
    <w:rsid w:val="00FB3378"/>
    <w:rsid w:val="00FC20C9"/>
    <w:rsid w:val="00FD6B30"/>
    <w:rsid w:val="00FE79F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autoRedefine/>
    <w:qFormat/>
    <w:rsid w:val="00961925"/>
    <w:pPr>
      <w:keepNext/>
      <w:keepLines/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uiPriority w:val="22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normal1">
    <w:name w:val="Recuo normal1"/>
    <w:basedOn w:val="Normal"/>
    <w:rsid w:val="00B92C88"/>
    <w:pPr>
      <w:tabs>
        <w:tab w:val="left" w:pos="9190"/>
      </w:tabs>
      <w:suppressAutoHyphens/>
      <w:autoSpaceDE w:val="0"/>
      <w:spacing w:after="120"/>
      <w:ind w:left="720" w:firstLine="567"/>
    </w:pPr>
    <w:rPr>
      <w:color w:val="000000"/>
      <w:szCs w:val="24"/>
      <w:lang w:val="pt-PT" w:eastAsia="ar-SA"/>
    </w:rPr>
  </w:style>
  <w:style w:type="paragraph" w:styleId="NormalWeb">
    <w:name w:val="Normal (Web)"/>
    <w:basedOn w:val="Normal"/>
    <w:uiPriority w:val="99"/>
    <w:rsid w:val="003B0F42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C3106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1066"/>
    <w:rPr>
      <w:rFonts w:ascii="Arial" w:eastAsia="Times New Roman" w:hAnsi="Arial" w:cs="Arial"/>
      <w:sz w:val="16"/>
      <w:szCs w:val="16"/>
      <w:lang w:eastAsia="pt-BR"/>
    </w:rPr>
  </w:style>
  <w:style w:type="paragraph" w:customStyle="1" w:styleId="Corpodetexto24">
    <w:name w:val="Corpo de texto 24"/>
    <w:basedOn w:val="Normal"/>
    <w:rsid w:val="00C31066"/>
    <w:pPr>
      <w:spacing w:line="360" w:lineRule="auto"/>
      <w:jc w:val="both"/>
    </w:pPr>
    <w:rPr>
      <w:rFonts w:cs="Times New Roman"/>
    </w:rPr>
  </w:style>
  <w:style w:type="character" w:customStyle="1" w:styleId="Ttulo5Char">
    <w:name w:val="Título 5 Char"/>
    <w:basedOn w:val="Fontepargpadro"/>
    <w:link w:val="Ttulo5"/>
    <w:rsid w:val="00961925"/>
    <w:rPr>
      <w:rFonts w:ascii="Garamond" w:eastAsia="Times New Roman" w:hAnsi="Garamond" w:cs="Arial"/>
      <w:b/>
      <w:color w:val="000000"/>
      <w:sz w:val="28"/>
      <w:szCs w:val="24"/>
      <w:lang w:eastAsia="pt-BR"/>
    </w:rPr>
  </w:style>
  <w:style w:type="character" w:styleId="Hyperlink">
    <w:name w:val="Hyperlink"/>
    <w:uiPriority w:val="99"/>
    <w:rsid w:val="00961925"/>
    <w:rPr>
      <w:strike w:val="0"/>
      <w:dstrike w:val="0"/>
      <w:color w:val="000099"/>
      <w:u w:val="none"/>
    </w:rPr>
  </w:style>
  <w:style w:type="paragraph" w:customStyle="1" w:styleId="Corpodetexto25">
    <w:name w:val="Corpo de texto 25"/>
    <w:basedOn w:val="Normal"/>
    <w:rsid w:val="00961925"/>
    <w:pPr>
      <w:suppressAutoHyphens/>
      <w:spacing w:line="360" w:lineRule="auto"/>
      <w:jc w:val="both"/>
    </w:pPr>
    <w:rPr>
      <w:rFonts w:cs="Times New Roman"/>
      <w:kern w:val="1"/>
      <w:szCs w:val="24"/>
      <w:lang w:eastAsia="ar-SA"/>
    </w:rPr>
  </w:style>
  <w:style w:type="paragraph" w:customStyle="1" w:styleId="Default">
    <w:name w:val="Default"/>
    <w:rsid w:val="00961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5">
    <w:name w:val="font5"/>
    <w:basedOn w:val="Normal"/>
    <w:rsid w:val="00961925"/>
    <w:pPr>
      <w:spacing w:before="100" w:beforeAutospacing="1" w:after="100" w:afterAutospacing="1"/>
    </w:pPr>
    <w:rPr>
      <w:rFonts w:ascii="Verdana" w:hAnsi="Verdana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76">
    <w:name w:val="xl76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4">
    <w:name w:val="xl84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Titulo1Boletim">
    <w:name w:val="Titulo1_Boletim"/>
    <w:basedOn w:val="Ttulo1"/>
    <w:autoRedefine/>
    <w:rsid w:val="00961925"/>
    <w:pPr>
      <w:keepLines/>
      <w:shd w:val="clear" w:color="auto" w:fill="000000"/>
      <w:tabs>
        <w:tab w:val="clear" w:pos="432"/>
        <w:tab w:val="left" w:pos="1270"/>
      </w:tabs>
      <w:suppressAutoHyphens w:val="0"/>
      <w:spacing w:before="360" w:after="360"/>
      <w:ind w:left="0" w:firstLine="0"/>
    </w:pPr>
    <w:rPr>
      <w:rFonts w:ascii="Verdana" w:hAnsi="Verdana" w:cs="Arial"/>
      <w:bCs/>
      <w:color w:val="FFFFFF"/>
      <w:kern w:val="28"/>
      <w:sz w:val="20"/>
      <w:szCs w:val="24"/>
      <w:lang w:eastAsia="en-US"/>
    </w:rPr>
  </w:style>
  <w:style w:type="paragraph" w:customStyle="1" w:styleId="DecretaBoletim">
    <w:name w:val="Decreta_Boletim"/>
    <w:basedOn w:val="TextoBoletim"/>
    <w:autoRedefine/>
    <w:rsid w:val="00961925"/>
    <w:pPr>
      <w:suppressAutoHyphens w:val="0"/>
      <w:spacing w:before="240" w:after="240"/>
      <w:ind w:firstLine="0"/>
      <w:jc w:val="center"/>
    </w:pPr>
    <w:rPr>
      <w:b w:val="0"/>
      <w:caps/>
      <w:snapToGrid w:val="0"/>
      <w:sz w:val="20"/>
      <w:lang w:eastAsia="en-US"/>
    </w:rPr>
  </w:style>
  <w:style w:type="paragraph" w:customStyle="1" w:styleId="MarcadorEstiloTexto">
    <w:name w:val="Marcador_Estilo_Texto"/>
    <w:basedOn w:val="TextoBoletim"/>
    <w:autoRedefine/>
    <w:rsid w:val="00961925"/>
    <w:pPr>
      <w:suppressAutoHyphens w:val="0"/>
      <w:spacing w:before="240" w:after="240"/>
      <w:ind w:left="612" w:firstLine="0"/>
    </w:pPr>
    <w:rPr>
      <w:snapToGrid w:val="0"/>
      <w:sz w:val="20"/>
      <w:lang w:eastAsia="en-US"/>
    </w:rPr>
  </w:style>
  <w:style w:type="paragraph" w:customStyle="1" w:styleId="MarcadorSeta">
    <w:name w:val="MarcadorSeta"/>
    <w:basedOn w:val="Normal"/>
    <w:autoRedefine/>
    <w:rsid w:val="00961925"/>
    <w:pPr>
      <w:tabs>
        <w:tab w:val="num" w:pos="360"/>
        <w:tab w:val="left" w:pos="970"/>
      </w:tabs>
      <w:spacing w:before="240" w:after="120"/>
      <w:ind w:left="969" w:hanging="357"/>
      <w:jc w:val="both"/>
    </w:pPr>
    <w:rPr>
      <w:rFonts w:ascii="Tahoma" w:hAnsi="Tahoma" w:cs="Times New Roman"/>
      <w:sz w:val="18"/>
      <w:szCs w:val="24"/>
    </w:rPr>
  </w:style>
  <w:style w:type="paragraph" w:customStyle="1" w:styleId="TextoTabelaBoletim">
    <w:name w:val="TextoTabelaBoletim"/>
    <w:basedOn w:val="TabelaBoletim"/>
    <w:autoRedefine/>
    <w:rsid w:val="00961925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TabelaBoletim">
    <w:name w:val="Tabela_Boletim"/>
    <w:basedOn w:val="Tabela"/>
    <w:autoRedefine/>
    <w:rsid w:val="00961925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961925"/>
    <w:pPr>
      <w:jc w:val="center"/>
    </w:pPr>
    <w:rPr>
      <w:rFonts w:ascii="Tahoma" w:hAnsi="Tahoma"/>
      <w:b/>
      <w:sz w:val="18"/>
      <w:lang w:val="pt-PT"/>
    </w:rPr>
  </w:style>
  <w:style w:type="paragraph" w:styleId="Recuonormal">
    <w:name w:val="Normal Indent"/>
    <w:basedOn w:val="Normal"/>
    <w:rsid w:val="00961925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color w:val="00000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961925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19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61925"/>
    <w:pPr>
      <w:spacing w:after="120" w:line="480" w:lineRule="auto"/>
      <w:ind w:left="283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61925"/>
    <w:pPr>
      <w:spacing w:before="100" w:beforeAutospacing="1" w:after="100" w:afterAutospacing="1"/>
      <w:ind w:left="720" w:right="720"/>
      <w:jc w:val="both"/>
    </w:pPr>
    <w:rPr>
      <w:b/>
      <w:bCs/>
    </w:rPr>
  </w:style>
  <w:style w:type="paragraph" w:styleId="Textodecomentrio">
    <w:name w:val="annotation text"/>
    <w:basedOn w:val="Normal"/>
    <w:link w:val="TextodecomentrioChar"/>
    <w:rsid w:val="00961925"/>
    <w:rPr>
      <w:rFonts w:ascii="Times New Roman" w:hAnsi="Times New Roman" w:cs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96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619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619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WW8Num2z0">
    <w:name w:val="WW8Num2z0"/>
    <w:rsid w:val="00961925"/>
    <w:rPr>
      <w:b w:val="0"/>
    </w:rPr>
  </w:style>
  <w:style w:type="paragraph" w:customStyle="1" w:styleId="Corpodetexto34">
    <w:name w:val="Corpo de texto 34"/>
    <w:basedOn w:val="Normal"/>
    <w:rsid w:val="0096192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</w:rPr>
  </w:style>
  <w:style w:type="paragraph" w:styleId="Commarcadores">
    <w:name w:val="List Bullet"/>
    <w:basedOn w:val="Normal"/>
    <w:rsid w:val="00961925"/>
    <w:pPr>
      <w:numPr>
        <w:numId w:val="29"/>
      </w:numPr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rsid w:val="00961925"/>
  </w:style>
  <w:style w:type="paragraph" w:customStyle="1" w:styleId="font6">
    <w:name w:val="font6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</w:rPr>
  </w:style>
  <w:style w:type="paragraph" w:customStyle="1" w:styleId="font7">
    <w:name w:val="font7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</w:rPr>
  </w:style>
  <w:style w:type="paragraph" w:customStyle="1" w:styleId="font8">
    <w:name w:val="font8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  <w:u w:val="single"/>
    </w:rPr>
  </w:style>
  <w:style w:type="paragraph" w:customStyle="1" w:styleId="font9">
    <w:name w:val="font9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FF0000"/>
      <w:sz w:val="15"/>
      <w:szCs w:val="15"/>
      <w:u w:val="single"/>
    </w:rPr>
  </w:style>
  <w:style w:type="paragraph" w:customStyle="1" w:styleId="font10">
    <w:name w:val="font10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</w:rPr>
  </w:style>
  <w:style w:type="paragraph" w:customStyle="1" w:styleId="font11">
    <w:name w:val="font11"/>
    <w:basedOn w:val="Normal"/>
    <w:rsid w:val="008702B7"/>
    <w:pPr>
      <w:spacing w:before="100" w:beforeAutospacing="1" w:after="100" w:afterAutospacing="1"/>
    </w:pPr>
    <w:rPr>
      <w:rFonts w:ascii="Verdana" w:hAnsi="Verdana" w:cs="Times New Roman"/>
      <w:color w:val="FF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4142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LICITAÇÃO MÁRCIA</cp:lastModifiedBy>
  <cp:revision>6</cp:revision>
  <cp:lastPrinted>2018-07-09T17:17:00Z</cp:lastPrinted>
  <dcterms:created xsi:type="dcterms:W3CDTF">2019-02-01T11:01:00Z</dcterms:created>
  <dcterms:modified xsi:type="dcterms:W3CDTF">2019-02-01T11:05:00Z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