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3" w:rsidRPr="002303CA" w:rsidRDefault="00E83D4F" w:rsidP="0050254C">
      <w:pPr>
        <w:spacing w:after="0" w:line="240" w:lineRule="auto"/>
        <w:jc w:val="both"/>
        <w:rPr>
          <w:rFonts w:ascii="Verdana" w:hAnsi="Verdana"/>
          <w:b/>
        </w:rPr>
      </w:pPr>
      <w:r w:rsidRPr="002303CA">
        <w:rPr>
          <w:rFonts w:ascii="Verdana" w:hAnsi="Verdana"/>
          <w:b/>
        </w:rPr>
        <w:t xml:space="preserve">PROCESSO LICITATÓRIO Nº </w:t>
      </w:r>
      <w:r w:rsidR="00754C02" w:rsidRPr="002303CA">
        <w:rPr>
          <w:rFonts w:ascii="Verdana" w:hAnsi="Verdana"/>
          <w:b/>
        </w:rPr>
        <w:t>074/2018</w:t>
      </w:r>
    </w:p>
    <w:p w:rsidR="00346EE3" w:rsidRPr="002303CA" w:rsidRDefault="00E83D4F" w:rsidP="0050254C">
      <w:pPr>
        <w:spacing w:after="0" w:line="240" w:lineRule="auto"/>
        <w:jc w:val="both"/>
        <w:rPr>
          <w:rFonts w:ascii="Verdana" w:hAnsi="Verdana" w:cs="Arial"/>
          <w:b/>
        </w:rPr>
      </w:pPr>
      <w:r w:rsidRPr="002303CA">
        <w:rPr>
          <w:rFonts w:ascii="Verdana" w:hAnsi="Verdana" w:cs="Arial"/>
          <w:b/>
        </w:rPr>
        <w:t xml:space="preserve">PREGÃO PRESENCIAL Nº </w:t>
      </w:r>
      <w:r w:rsidR="00754C02" w:rsidRPr="002303CA">
        <w:rPr>
          <w:rFonts w:ascii="Verdana" w:hAnsi="Verdana" w:cs="Arial"/>
          <w:b/>
        </w:rPr>
        <w:t>044/2018</w:t>
      </w:r>
    </w:p>
    <w:p w:rsidR="00346EE3" w:rsidRPr="002303CA" w:rsidRDefault="00346EE3" w:rsidP="0050254C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2303CA" w:rsidRDefault="00346EE3" w:rsidP="0050254C">
      <w:pPr>
        <w:pStyle w:val="Ttulo1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46EE3" w:rsidRPr="002303CA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2303CA">
        <w:rPr>
          <w:rFonts w:ascii="Verdana" w:hAnsi="Verdana" w:cs="Arial"/>
        </w:rPr>
        <w:t xml:space="preserve">ATA DE REGISTRO DE PREÇOS Nº </w:t>
      </w:r>
      <w:r w:rsidR="00890BAB" w:rsidRPr="002303CA">
        <w:rPr>
          <w:rFonts w:ascii="Verdana" w:hAnsi="Verdana" w:cs="Arial"/>
        </w:rPr>
        <w:t>033</w:t>
      </w:r>
      <w:r w:rsidR="00CE7F25" w:rsidRPr="002303CA">
        <w:rPr>
          <w:rFonts w:ascii="Verdana" w:hAnsi="Verdana" w:cs="Arial"/>
        </w:rPr>
        <w:t>/2018</w:t>
      </w:r>
      <w:r w:rsidRPr="002303CA">
        <w:rPr>
          <w:rFonts w:ascii="Verdana" w:hAnsi="Verdana" w:cs="Arial"/>
        </w:rPr>
        <w:t>.</w:t>
      </w:r>
    </w:p>
    <w:p w:rsidR="00346EE3" w:rsidRPr="002303CA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2303CA">
        <w:rPr>
          <w:rFonts w:ascii="Verdana" w:hAnsi="Verdana" w:cs="Arial"/>
        </w:rPr>
        <w:t xml:space="preserve">PREGÃO Nº </w:t>
      </w:r>
      <w:r w:rsidR="00754C02" w:rsidRPr="002303CA">
        <w:rPr>
          <w:rFonts w:ascii="Verdana" w:hAnsi="Verdana" w:cs="Arial"/>
        </w:rPr>
        <w:t>074/2018</w:t>
      </w:r>
      <w:r w:rsidRPr="002303CA">
        <w:rPr>
          <w:rFonts w:ascii="Verdana" w:hAnsi="Verdana" w:cs="Arial"/>
        </w:rPr>
        <w:t>.</w:t>
      </w:r>
    </w:p>
    <w:p w:rsidR="00346EE3" w:rsidRPr="002303CA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2303CA">
        <w:rPr>
          <w:rFonts w:ascii="Verdana" w:hAnsi="Verdana" w:cs="Arial"/>
        </w:rPr>
        <w:t xml:space="preserve">PROCESSO Nº </w:t>
      </w:r>
      <w:r w:rsidR="00754C02" w:rsidRPr="002303CA">
        <w:rPr>
          <w:rFonts w:ascii="Verdana" w:hAnsi="Verdana" w:cs="Arial"/>
        </w:rPr>
        <w:t>044/2018</w:t>
      </w:r>
      <w:r w:rsidRPr="002303CA">
        <w:rPr>
          <w:rFonts w:ascii="Verdana" w:hAnsi="Verdana" w:cs="Arial"/>
        </w:rPr>
        <w:t>.</w:t>
      </w:r>
    </w:p>
    <w:p w:rsidR="00346EE3" w:rsidRPr="002303CA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2303CA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2303CA">
        <w:rPr>
          <w:rFonts w:ascii="Verdana" w:hAnsi="Verdana" w:cs="Arial"/>
        </w:rPr>
        <w:t>VALIDADE: 12 meses.</w:t>
      </w:r>
    </w:p>
    <w:p w:rsidR="00346EE3" w:rsidRPr="002303CA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2303CA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2303CA" w:rsidRDefault="0050254C" w:rsidP="005025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2303CA">
        <w:rPr>
          <w:rFonts w:ascii="Verdana" w:hAnsi="Verdana" w:cs="Arial"/>
          <w:sz w:val="22"/>
          <w:szCs w:val="22"/>
        </w:rPr>
        <w:t xml:space="preserve">Aos </w:t>
      </w:r>
      <w:r w:rsidR="0050380B" w:rsidRPr="002303CA">
        <w:rPr>
          <w:rFonts w:ascii="Verdana" w:hAnsi="Verdana" w:cs="Arial"/>
          <w:sz w:val="22"/>
          <w:szCs w:val="22"/>
        </w:rPr>
        <w:t xml:space="preserve">08 (oito) </w:t>
      </w:r>
      <w:r w:rsidRPr="002303CA">
        <w:rPr>
          <w:rFonts w:ascii="Verdana" w:hAnsi="Verdana" w:cs="Arial"/>
          <w:sz w:val="22"/>
          <w:szCs w:val="22"/>
        </w:rPr>
        <w:t>dias do mês de</w:t>
      </w:r>
      <w:r w:rsidR="00E83D4F" w:rsidRPr="002303CA">
        <w:rPr>
          <w:rFonts w:ascii="Verdana" w:hAnsi="Verdana" w:cs="Arial"/>
          <w:sz w:val="22"/>
          <w:szCs w:val="22"/>
        </w:rPr>
        <w:t xml:space="preserve"> </w:t>
      </w:r>
      <w:r w:rsidR="0050380B" w:rsidRPr="002303CA">
        <w:rPr>
          <w:rFonts w:ascii="Verdana" w:hAnsi="Verdana" w:cs="Arial"/>
          <w:sz w:val="22"/>
          <w:szCs w:val="22"/>
        </w:rPr>
        <w:t>junho</w:t>
      </w:r>
      <w:r w:rsidR="00E83D4F" w:rsidRPr="002303CA">
        <w:rPr>
          <w:rFonts w:ascii="Verdana" w:hAnsi="Verdana" w:cs="Arial"/>
          <w:sz w:val="22"/>
          <w:szCs w:val="22"/>
        </w:rPr>
        <w:t xml:space="preserve"> de </w:t>
      </w:r>
      <w:r w:rsidR="003209D5" w:rsidRPr="002303CA">
        <w:rPr>
          <w:rFonts w:ascii="Verdana" w:hAnsi="Verdana" w:cs="Arial"/>
          <w:sz w:val="22"/>
          <w:szCs w:val="22"/>
        </w:rPr>
        <w:t>2018</w:t>
      </w:r>
      <w:r w:rsidR="00E83D4F" w:rsidRPr="002303CA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50380B" w:rsidRPr="002303CA">
        <w:rPr>
          <w:rFonts w:ascii="Verdana" w:hAnsi="Verdana" w:cs="Arial"/>
          <w:sz w:val="22"/>
          <w:szCs w:val="22"/>
        </w:rPr>
        <w:t>Avenida Francisco Valadares da Fonseca, nº. 250, bairro Vasco Lopes, Papagaios/MG, CEP 35.669-00</w:t>
      </w:r>
      <w:r w:rsidR="00E83D4F" w:rsidRPr="002303CA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DC6EF8" w:rsidRPr="002303CA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DC6EF8" w:rsidRPr="002303CA">
        <w:rPr>
          <w:rFonts w:ascii="Verdana" w:hAnsi="Verdana" w:cs="Arial"/>
          <w:sz w:val="22"/>
          <w:szCs w:val="22"/>
        </w:rPr>
        <w:t>Filgueiras</w:t>
      </w:r>
      <w:proofErr w:type="spellEnd"/>
      <w:r w:rsidR="00E83D4F" w:rsidRPr="002303CA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754C02" w:rsidRPr="002303CA">
        <w:rPr>
          <w:rFonts w:ascii="Verdana" w:hAnsi="Verdana" w:cs="Arial"/>
          <w:sz w:val="22"/>
          <w:szCs w:val="22"/>
        </w:rPr>
        <w:t>044/2018</w:t>
      </w:r>
      <w:r w:rsidR="00E83D4F" w:rsidRPr="002303CA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754C02" w:rsidRPr="002303CA">
        <w:rPr>
          <w:rFonts w:ascii="Verdana" w:hAnsi="Verdana" w:cs="Arial"/>
          <w:sz w:val="22"/>
          <w:szCs w:val="22"/>
        </w:rPr>
        <w:t>074/2018</w:t>
      </w:r>
      <w:r w:rsidR="00E83D4F" w:rsidRPr="002303CA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A22EEA" w:rsidRPr="002303CA">
        <w:rPr>
          <w:rFonts w:ascii="Verdana" w:hAnsi="Verdana"/>
          <w:b/>
          <w:sz w:val="22"/>
          <w:szCs w:val="22"/>
        </w:rPr>
        <w:t>XYLEM BRASIL SOLUÇÕES PARA ÁGUA LTDA</w:t>
      </w:r>
      <w:r w:rsidR="00A22EEA" w:rsidRPr="002303CA">
        <w:rPr>
          <w:rFonts w:ascii="Verdana" w:hAnsi="Verdana"/>
          <w:sz w:val="22"/>
          <w:szCs w:val="22"/>
        </w:rPr>
        <w:t xml:space="preserve">, localizado na </w:t>
      </w:r>
      <w:r w:rsidR="00A177FE">
        <w:rPr>
          <w:rFonts w:ascii="Verdana" w:hAnsi="Verdana"/>
          <w:sz w:val="22"/>
          <w:szCs w:val="22"/>
        </w:rPr>
        <w:t>Rua Telmo Coelho Filho, nº. 40, Vila Albano, São Paulo/SP, CEP 05.543-020</w:t>
      </w:r>
      <w:r w:rsidR="00A22EEA" w:rsidRPr="002303CA">
        <w:rPr>
          <w:rFonts w:ascii="Verdana" w:hAnsi="Verdana"/>
          <w:sz w:val="22"/>
          <w:szCs w:val="22"/>
        </w:rPr>
        <w:t xml:space="preserve">, cujo CNPJ é </w:t>
      </w:r>
      <w:r w:rsidR="00A177FE">
        <w:rPr>
          <w:rFonts w:ascii="Verdana" w:hAnsi="Verdana"/>
          <w:sz w:val="22"/>
          <w:szCs w:val="22"/>
        </w:rPr>
        <w:t>60.039.401/0001-87</w:t>
      </w:r>
      <w:r w:rsidR="00A22EEA" w:rsidRPr="002303CA">
        <w:rPr>
          <w:rFonts w:ascii="Verdana" w:hAnsi="Verdana"/>
          <w:sz w:val="22"/>
          <w:szCs w:val="22"/>
        </w:rPr>
        <w:t xml:space="preserve">, neste ato representado por Mario Rolando </w:t>
      </w:r>
      <w:proofErr w:type="spellStart"/>
      <w:r w:rsidR="00A22EEA" w:rsidRPr="002303CA">
        <w:rPr>
          <w:rFonts w:ascii="Verdana" w:hAnsi="Verdana"/>
          <w:sz w:val="22"/>
          <w:szCs w:val="22"/>
        </w:rPr>
        <w:t>Ramacciotti</w:t>
      </w:r>
      <w:proofErr w:type="spellEnd"/>
      <w:r w:rsidR="00A22EEA" w:rsidRPr="002303CA">
        <w:rPr>
          <w:rFonts w:ascii="Verdana" w:hAnsi="Verdana"/>
          <w:sz w:val="22"/>
          <w:szCs w:val="22"/>
        </w:rPr>
        <w:t>, inscrito no CPF/MF sob o nº. 014.631.078-03 e Antônio Claudinei da Silva, inscrito no CPF/MF sob o nº. 076.919.658-69, conforme quadro abaixo</w:t>
      </w:r>
      <w:r w:rsidR="00E83D4F" w:rsidRPr="002303CA">
        <w:rPr>
          <w:rFonts w:ascii="Verdana" w:hAnsi="Verdana" w:cs="Arial"/>
          <w:sz w:val="22"/>
          <w:szCs w:val="22"/>
        </w:rPr>
        <w:t>:</w:t>
      </w:r>
    </w:p>
    <w:p w:rsidR="00346EE3" w:rsidRPr="002303CA" w:rsidRDefault="00346EE3" w:rsidP="005025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4"/>
        <w:gridCol w:w="2042"/>
        <w:gridCol w:w="955"/>
        <w:gridCol w:w="1045"/>
        <w:gridCol w:w="1045"/>
        <w:gridCol w:w="955"/>
        <w:gridCol w:w="1045"/>
        <w:gridCol w:w="955"/>
        <w:gridCol w:w="1147"/>
      </w:tblGrid>
      <w:tr w:rsidR="00E83D4F" w:rsidRPr="00874C98" w:rsidTr="0050254C"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874C98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4C98">
              <w:rPr>
                <w:rFonts w:ascii="Verdana" w:hAnsi="Verdana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69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4C98">
              <w:rPr>
                <w:rFonts w:ascii="Verdana" w:hAnsi="Verdana" w:cs="Arial"/>
                <w:b/>
                <w:sz w:val="16"/>
                <w:szCs w:val="16"/>
              </w:rPr>
              <w:t>QUANTIDADE/ VALOR</w:t>
            </w:r>
          </w:p>
        </w:tc>
      </w:tr>
      <w:tr w:rsidR="00E83D4F" w:rsidRPr="00874C98" w:rsidTr="0050254C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874C98" w:rsidRDefault="00346EE3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874C98" w:rsidRDefault="00346EE3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Órgão gerenciador</w:t>
            </w: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Limite decorrente de adesões</w:t>
            </w:r>
          </w:p>
        </w:tc>
      </w:tr>
      <w:tr w:rsidR="00874C98" w:rsidRPr="00874C98" w:rsidTr="0050254C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874C98" w:rsidRDefault="00346EE3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874C98" w:rsidRDefault="00346EE3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74C98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874C98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Unitário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74C98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874C98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74C98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874C98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46EE3" w:rsidRPr="00874C9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874C98" w:rsidRPr="00874C98" w:rsidTr="0050254C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874C98" w:rsidRDefault="0050380B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874C98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Conjunto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tipo Centrifuga Submersível para ser </w:t>
            </w:r>
            <w:r w:rsidRPr="00874C98">
              <w:rPr>
                <w:rFonts w:ascii="Verdana" w:hAnsi="Verdana"/>
                <w:b/>
                <w:color w:val="FF0000"/>
                <w:sz w:val="16"/>
                <w:szCs w:val="16"/>
              </w:rPr>
              <w:t>reserva</w:t>
            </w:r>
            <w:r w:rsidRPr="00874C98">
              <w:rPr>
                <w:rFonts w:ascii="Verdana" w:hAnsi="Verdana"/>
                <w:sz w:val="16"/>
                <w:szCs w:val="16"/>
              </w:rPr>
              <w:t xml:space="preserve"> com garantia de não-entupimento, para recalque de águas servidas com sólidos fibrosos FLYGT modelo NP 3102 SH 257 4,8KW 220V 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O conjunto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deverá ser do tipo monobloco, equipado com motor elétrico montado em câmara estanque, e rotor hidráulico montado diretamente no eixo do motor, com potência máxima nominal de 4,8KW, tensão de operação 440 Volts, trifásico </w:t>
            </w:r>
            <w:r w:rsidRPr="00874C98">
              <w:rPr>
                <w:rFonts w:ascii="Verdana" w:hAnsi="Verdana"/>
                <w:sz w:val="16"/>
                <w:szCs w:val="16"/>
              </w:rPr>
              <w:lastRenderedPageBreak/>
              <w:t>60Hz, rotor com 125mm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O conjunto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deverá ser equipado com um lance de cabo elétrico para alimentação e controle do equipamento, dimensionado para trabalhar total ou parcialmente submerso, em ambiente confinado, ou ao tempo, com comprimento mínimo de 10m, dimensões e capacidades compatíveis com a corrente nominal do motor.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Principais características construtivas do cabo elétrico: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Número de condutores: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4, sendo um para aterramento na mesma bitola que os condutores de energia.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Isolação mínima: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600V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Limites de temperatura:</w:t>
            </w:r>
            <w:r w:rsidRPr="00874C98">
              <w:rPr>
                <w:rFonts w:ascii="Verdana" w:hAnsi="Verdana"/>
                <w:sz w:val="16"/>
                <w:szCs w:val="16"/>
              </w:rPr>
              <w:tab/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Para os condutores, no mínimo 90ºC, contínuo.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Do ambiente, no mínimo 70ºC, contínuo.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Materiais de construção: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Capa externa em borracha clorada polipropileno (CPE), ou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cloroprene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>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Isolante dos condutores e terra em borracha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etilenopropileno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(EPR).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Condutores flexíveis em cobre. 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O sistema de guia e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içamento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deverá </w:t>
            </w:r>
            <w:r w:rsidRPr="00874C98">
              <w:rPr>
                <w:rFonts w:ascii="Verdana" w:hAnsi="Verdana"/>
                <w:sz w:val="16"/>
                <w:szCs w:val="16"/>
              </w:rPr>
              <w:lastRenderedPageBreak/>
              <w:t xml:space="preserve">garantir que 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seja perfeitamente direcionada para o dispositivo de acoplamento automático, do modelo em questão.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DESENHO DA MOTOBOMBA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deverá ser provida de um dispositivo que permita o acoplamento automático com o pedestal de descarga, que estará fixado no fundo do poço da elevatória.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O dispositivo de acoplamento automático deverá garantir que 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fique firmemente apoiada no pedestal e que opere sem vibrações ou vazamentos.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Não será admitido nenhum tipo de elemento de fixação ou vedação que exija a entrada do operador no poço da elevatória, para acoplar ou desacoplar o equipamento.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A perfeita vedação entre 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e o pedestal de descarga deverá ser promovida pelo contato direto entre as peças.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A pintura de acabamento da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e dos acessórios, excluindo-se as partes em borracha, as galvanizadas e as de aço inoxidável, deverá apresentar resistência adequada ao meio de trabalho e promover a não aderência das graxas e gorduras.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CONSTRUÇÃO DA MOTOBOMBA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Os principais fundidos do conjunto moto-bomba deverão ser em ferro cinzento, ASTM A-48 Classe 35B, com superfícies de acabamento liso, sem falhas de fundição ou irregularidades grosseiras.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A alça de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içamento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da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>, item importante para a segurança, bem como as porcas, parafusos, arruelas e os demais elementos de fixação, deverão ser de aço inoxidável AISI 304 ou material de qualidade superior.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A vedação entre partes não móveis da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deverá ser obtida por meio de anéis do tipo “O” ou elementos de borracha, prensados por superfícies usinadas, de forma a promover a total vedação sem a necessidade do uso de adesivos, resinas, juntas químicas, ou materiais similares.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SISTEMA DE REFRIGERAÇÃO DO MOTOR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hd w:val="clear" w:color="auto" w:fill="FFFFFF"/>
              <w:spacing w:after="0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O motor deverá possuir refrigeração feita por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haletas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>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VEDAÇÃO DO(S) CABO(S) ELÉTRICO(S)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A entrada dos cabos elétricos de alimentação e de comando, se houver, deverá ser constituída de uma ou mais buchas de borracha comprimidas por superfícies rígidas, de forma a garantir a total estanqueidade da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. Outros sistemas que utilizam </w:t>
            </w:r>
            <w:r w:rsidRPr="00874C98">
              <w:rPr>
                <w:rFonts w:ascii="Verdana" w:hAnsi="Verdana"/>
                <w:sz w:val="16"/>
                <w:szCs w:val="16"/>
              </w:rPr>
              <w:lastRenderedPageBreak/>
              <w:t>colas, resinas, juntas químicas, ou materiais similares não serão aceitos.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A caixa de ligações deverá conter uma placa, ou uma régua de bornes, capaz de promover conexões elétrica e mecanicamente seguras, tanto para os condutores de energia como para os de comando.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O condutor de aterramento deverá obrigatoriamente ter seu ponto firme de instalação diretamente na carcaça e não nos bornes como os demais.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MOTOR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O motor deverá ser do tipo assíncrono, com rotor em curto-circuito (gaiola de esquilo) alojado em câmara seca.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O motor deverá ser de classe de isolação H, para suportar temperaturas de até180ºC, sem prejuízo das isolações e da vida útil.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O motor deverá ser projetado para trabalho contínuo, ou intermitente, com o limite de partidas de até 15 por hora (1 partida a cada 4 minutos), em ambiente com temperaturas de até 40ºC.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Os enrolamentos do motor deverão ser providos de no mínimo três sensores térmicos do tipo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bi-metálico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, ou superior, para proteção contra superaquecimento dos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enrrolamentos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>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O sistema de proteção térmica deverá ser </w:t>
            </w:r>
            <w:r w:rsidRPr="00874C98">
              <w:rPr>
                <w:rFonts w:ascii="Verdana" w:hAnsi="Verdana"/>
                <w:sz w:val="16"/>
                <w:szCs w:val="16"/>
              </w:rPr>
              <w:lastRenderedPageBreak/>
              <w:t>dimensionado para abrir a 140ºC e fechar automaticamente a 70ºC.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O fator de serviço associado (efeito associado de tensão, frequência, peso específico e viscosidade do fluido bombeado), deverá ser de no mínimo 1,10.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O motor deverá ser capaz de operar normalmente com variação da tensão de alimentação de ± 10% e de frequência para controle da rotação com limite mínimo de frequência igual a 30Hz.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Classe de proteção IP68, para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submergência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de até 20m em água doce.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DOCUMENTAÇÃO MÍNIMA A SER APRESENTADA COM A PROPOSTA TÉCNICA.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ab/>
              <w:t xml:space="preserve">Documentos relativos ao conjunto </w:t>
            </w:r>
            <w:proofErr w:type="spellStart"/>
            <w:r w:rsidRPr="00874C98">
              <w:rPr>
                <w:rFonts w:ascii="Verdana" w:hAnsi="Verdana"/>
                <w:b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Folha de dados devidamente preenchida, no padrão do fabricante,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Curva de performance da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>,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Curva de consumo de potência elétrica do conjunto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>,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Curvas de rendimento do bombeador,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Curva de rendimento total do conjunto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>,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Desenho dimensional de conjunto, incluindo o sistema de instalação.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Documentos padrão relativos ao motor: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lastRenderedPageBreak/>
              <w:t>Curvas de torque,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Curva de corrente elétrica,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Curva de eficiência,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Potência elétrica P1,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Potência no eixo P2,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Fator de potência a 50, 75 e 100% da carga,</w:t>
            </w:r>
          </w:p>
          <w:p w:rsidR="0050380B" w:rsidRPr="00874C98" w:rsidRDefault="0050380B" w:rsidP="0050380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Rendimento a 50,75 e 100% da carga. 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MANCAIS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Deverão ser obrigatoriamente do tipo rolamento, com lubrificação permanente a graxa.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VEDAÇÃO DO EIXO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deverá ser provida de um sistema do tipo selo mecânico, capaz de promover a selagem do eixo em no mínimo dois pontos.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Cada conjunto de faces de selagem deverá ser dimensionado de forma a resistir ao ataque físico/químico do meio em que se encontram.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As faces dos selos mecânicos deverão ser lubrificadas e refrigeradas por fluidos inertes, atóxicos e que não agridam o meio ambiente.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Dar-se-á preferência aos dispositivos de selagem montados sobre cartuchos e que permitem a substituição do conjunto de selagem em campo.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deverá ser provida de um sistema que minimize o efeito abrasivo sobre o selo que estará em </w:t>
            </w:r>
            <w:r w:rsidRPr="00874C98">
              <w:rPr>
                <w:rFonts w:ascii="Verdana" w:hAnsi="Verdana"/>
                <w:sz w:val="16"/>
                <w:szCs w:val="16"/>
              </w:rPr>
              <w:lastRenderedPageBreak/>
              <w:t>contato com o fluido bombeado.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Caso sejam necessários acessórios ou dispositivos complementares para viabilizar esse sistema, estes deverão ser devidamente especificados, quantificados e fornecidos como parte integrante da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>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Outros tipos de vedação, tais como retentores, gaxetas, não serão aceitos.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EIXO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O material do eixo do deverá ser o aço inoxidável, com características mecânicas adequadas para suportar os esforços do conjunto bombeador.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HIDRÁULICA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pStyle w:val="Corpodetexto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>O rotor hidráulico deverá ser do tipo semiaberto, de múltiplas pás, com um perfil que elimine a possibilidade de entupimento e/ou travamento por retenção de trapos e sólidos fibrosos.</w:t>
            </w:r>
          </w:p>
          <w:p w:rsidR="0050380B" w:rsidRPr="00874C98" w:rsidRDefault="0050380B" w:rsidP="0050380B">
            <w:pPr>
              <w:pStyle w:val="Corpodetexto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pStyle w:val="Corpodetexto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Devido à possibilidade de desbalanceamento provocado pelo desgaste normal do rotor hidráulico, dar-se-á preferência aos rotores de múltiplas pás. </w:t>
            </w:r>
          </w:p>
          <w:p w:rsidR="0050380B" w:rsidRPr="00874C98" w:rsidRDefault="0050380B" w:rsidP="0050380B">
            <w:pPr>
              <w:pStyle w:val="Corpodetexto"/>
              <w:spacing w:after="0"/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50380B" w:rsidRPr="00874C98" w:rsidRDefault="0050380B" w:rsidP="0050380B">
            <w:pPr>
              <w:pStyle w:val="Corpodetexto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O rotor hidráulico deverá ser fabricado em ferro fundido cinzento, ASTM A-48 Classe 35B, com as bordas de ataque das pás termicamente tratadas para durezas não inferiores a 45HRC. </w:t>
            </w:r>
          </w:p>
          <w:p w:rsidR="0050380B" w:rsidRPr="00874C98" w:rsidRDefault="0050380B" w:rsidP="0050380B">
            <w:pPr>
              <w:pStyle w:val="Corpodetexto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lastRenderedPageBreak/>
              <w:t>A voluta da bomba deverá ser fundida em uma única peça, em ferro cinzento ASTM A-48 Classe 35B, com desenho não concêntrico.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b/>
                <w:sz w:val="16"/>
                <w:szCs w:val="16"/>
              </w:rPr>
              <w:t>PROTEÇÕES OBRIGATÓRIAS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O conjunto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motobomba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deverá ser provido de um sensor de vazamento, tipo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Float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Leakage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Switch, que dispensa aferições e ajustes</w:t>
            </w: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380B" w:rsidRPr="00874C98" w:rsidRDefault="0050380B" w:rsidP="0050380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74C98">
              <w:rPr>
                <w:rFonts w:ascii="Verdana" w:hAnsi="Verdana"/>
                <w:sz w:val="16"/>
                <w:szCs w:val="16"/>
              </w:rPr>
              <w:t xml:space="preserve">O conjunto moto-bomba deverá ser fornecido com um relê de supervisão para operação do sistema de monitoramento contra falhas – temperatura do </w:t>
            </w:r>
            <w:proofErr w:type="spellStart"/>
            <w:r w:rsidRPr="00874C98">
              <w:rPr>
                <w:rFonts w:ascii="Verdana" w:hAnsi="Verdana"/>
                <w:sz w:val="16"/>
                <w:szCs w:val="16"/>
              </w:rPr>
              <w:t>estator</w:t>
            </w:r>
            <w:proofErr w:type="spellEnd"/>
            <w:r w:rsidRPr="00874C98">
              <w:rPr>
                <w:rFonts w:ascii="Verdana" w:hAnsi="Verdana"/>
                <w:sz w:val="16"/>
                <w:szCs w:val="16"/>
              </w:rPr>
              <w:t xml:space="preserve"> e vazamento nos selos mecânicos.</w:t>
            </w:r>
          </w:p>
          <w:p w:rsidR="00346EE3" w:rsidRPr="00874C98" w:rsidRDefault="00346EE3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874C98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874C98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25.575,00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874C98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51.150,00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874C98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874C98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51.150,00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874C98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874C98" w:rsidRDefault="00874C98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255.750,00</w:t>
            </w:r>
          </w:p>
        </w:tc>
      </w:tr>
    </w:tbl>
    <w:p w:rsidR="00346EE3" w:rsidRPr="00CA2795" w:rsidRDefault="00346EE3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01 </w:t>
      </w:r>
      <w:r w:rsidRPr="00CA2795">
        <w:rPr>
          <w:rFonts w:ascii="Verdana" w:hAnsi="Verdana" w:cs="Arial"/>
          <w:b/>
        </w:rPr>
        <w:noBreakHyphen/>
        <w:t xml:space="preserve"> DO OBJETO: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CA2795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CA2795">
        <w:rPr>
          <w:rFonts w:ascii="Verdana" w:hAnsi="Verdana"/>
          <w:sz w:val="22"/>
          <w:szCs w:val="22"/>
        </w:rPr>
        <w:t xml:space="preserve">I </w:t>
      </w:r>
      <w:r w:rsidRPr="00CA2795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46EE3" w:rsidRPr="00CA2795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CA2795" w:rsidRDefault="00E83D4F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02 </w:t>
      </w:r>
      <w:r w:rsidRPr="00CA2795">
        <w:rPr>
          <w:rFonts w:ascii="Verdana" w:hAnsi="Verdana" w:cs="Arial"/>
          <w:b/>
        </w:rPr>
        <w:noBreakHyphen/>
        <w:t xml:space="preserve"> DA VALIDADE DO REGISTRO DE PREÇOS</w:t>
      </w:r>
    </w:p>
    <w:p w:rsidR="00346EE3" w:rsidRPr="00CA2795" w:rsidRDefault="00346EE3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 </w:t>
      </w:r>
      <w:r w:rsidRPr="00CA2795">
        <w:rPr>
          <w:rFonts w:ascii="Verdana" w:hAnsi="Verdana" w:cs="Arial"/>
        </w:rPr>
        <w:noBreakHyphen/>
        <w:t xml:space="preserve"> A presente Ata de Registro de Preços terá a validade de 12 meses a partir da homologação do processo.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II </w:t>
      </w:r>
      <w:r w:rsidRPr="00CA2795">
        <w:rPr>
          <w:rFonts w:ascii="Verdana" w:hAnsi="Verdan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III </w:t>
      </w:r>
      <w:r w:rsidRPr="00CA2795">
        <w:rPr>
          <w:rFonts w:ascii="Verdana" w:hAnsi="Verdan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tabs>
          <w:tab w:val="right" w:pos="7944"/>
        </w:tabs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03 </w:t>
      </w:r>
      <w:r w:rsidRPr="00CA2795">
        <w:rPr>
          <w:rFonts w:ascii="Verdana" w:hAnsi="Verdana" w:cs="Arial"/>
          <w:b/>
        </w:rPr>
        <w:noBreakHyphen/>
        <w:t xml:space="preserve"> DA UTILIZAÇÃO DA ATA DE REGISTRO DE PREÇOS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lastRenderedPageBreak/>
        <w:t xml:space="preserve">I </w:t>
      </w:r>
      <w:r w:rsidRPr="00CA2795">
        <w:rPr>
          <w:rFonts w:ascii="Verdana" w:hAnsi="Verdan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tabs>
          <w:tab w:val="right" w:pos="2401"/>
        </w:tabs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04 </w:t>
      </w:r>
      <w:r w:rsidRPr="00CA2795">
        <w:rPr>
          <w:rFonts w:ascii="Verdana" w:hAnsi="Verdana" w:cs="Arial"/>
          <w:b/>
        </w:rPr>
        <w:noBreakHyphen/>
        <w:t xml:space="preserve"> DO PREÇO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 </w:t>
      </w:r>
      <w:r w:rsidRPr="00CA2795">
        <w:rPr>
          <w:rFonts w:ascii="Verdana" w:hAnsi="Verdan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54C02" w:rsidRPr="00CA2795">
        <w:rPr>
          <w:rFonts w:ascii="Verdana" w:hAnsi="Verdana" w:cs="Arial"/>
        </w:rPr>
        <w:t>044/2018</w:t>
      </w:r>
      <w:r w:rsidRPr="00CA2795">
        <w:rPr>
          <w:rFonts w:ascii="Verdana" w:hAnsi="Verdana" w:cs="Arial"/>
        </w:rPr>
        <w:t>.</w:t>
      </w:r>
    </w:p>
    <w:p w:rsidR="00346EE3" w:rsidRPr="00CA2795" w:rsidRDefault="00346EE3">
      <w:pPr>
        <w:tabs>
          <w:tab w:val="right" w:pos="9122"/>
        </w:tabs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tabs>
          <w:tab w:val="right" w:pos="9122"/>
        </w:tabs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II </w:t>
      </w:r>
      <w:r w:rsidRPr="00CA2795">
        <w:rPr>
          <w:rFonts w:ascii="Verdana" w:hAnsi="Verdan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54C02" w:rsidRPr="00CA2795">
        <w:rPr>
          <w:rFonts w:ascii="Verdana" w:hAnsi="Verdana" w:cs="Arial"/>
        </w:rPr>
        <w:t>044/2018</w:t>
      </w:r>
      <w:r w:rsidRPr="00CA2795">
        <w:rPr>
          <w:rFonts w:ascii="Verdana" w:hAnsi="Verdana" w:cs="Arial"/>
        </w:rPr>
        <w:t>, que integra o presente instrumento de compromisso.</w:t>
      </w:r>
    </w:p>
    <w:p w:rsidR="00346EE3" w:rsidRPr="00CA2795" w:rsidRDefault="00346EE3">
      <w:pPr>
        <w:tabs>
          <w:tab w:val="right" w:pos="9106"/>
        </w:tabs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tabs>
          <w:tab w:val="right" w:pos="9106"/>
        </w:tabs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III </w:t>
      </w:r>
      <w:r w:rsidRPr="00CA2795">
        <w:rPr>
          <w:rFonts w:ascii="Verdana" w:hAnsi="Verdana" w:cs="Arial"/>
        </w:rPr>
        <w:noBreakHyphen/>
        <w:t xml:space="preserve"> Em cada fornecimento, o preço unitário a ser pago será o constante das propostas apresentadas, no Pregão nº </w:t>
      </w:r>
      <w:r w:rsidR="00754C02" w:rsidRPr="00CA2795">
        <w:rPr>
          <w:rFonts w:ascii="Verdana" w:hAnsi="Verdana" w:cs="Arial"/>
        </w:rPr>
        <w:t>044/2018</w:t>
      </w:r>
      <w:r w:rsidRPr="00CA2795">
        <w:rPr>
          <w:rFonts w:ascii="Verdana" w:hAnsi="Verdana" w:cs="Arial"/>
        </w:rPr>
        <w:t xml:space="preserve"> pelas empresas detentoras da presente Ata, as quais também a integram.</w:t>
      </w:r>
    </w:p>
    <w:p w:rsidR="00346EE3" w:rsidRPr="00CA2795" w:rsidRDefault="00346EE3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CA2795" w:rsidRDefault="00E83D4F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05 </w:t>
      </w:r>
      <w:r w:rsidRPr="00CA2795">
        <w:rPr>
          <w:rFonts w:ascii="Verdana" w:hAnsi="Verdana" w:cs="Arial"/>
          <w:b/>
        </w:rPr>
        <w:noBreakHyphen/>
        <w:t xml:space="preserve"> DO LOCAL E PRAZO DE ENTREGA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 </w:t>
      </w:r>
      <w:r w:rsidRPr="00CA2795">
        <w:rPr>
          <w:rFonts w:ascii="Verdana" w:hAnsi="Verdan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II </w:t>
      </w:r>
      <w:r w:rsidRPr="00CA2795">
        <w:rPr>
          <w:rFonts w:ascii="Verdana" w:hAnsi="Verdana" w:cs="Arial"/>
        </w:rPr>
        <w:noBreakHyphen/>
        <w:t xml:space="preserve"> O local da entrega, em cada fornecimento, será o constante da Ordem de Fornecimento.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tabs>
          <w:tab w:val="right" w:pos="3229"/>
        </w:tabs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06 </w:t>
      </w:r>
      <w:r w:rsidRPr="00CA2795">
        <w:rPr>
          <w:rFonts w:ascii="Verdana" w:hAnsi="Verdana" w:cs="Arial"/>
          <w:b/>
        </w:rPr>
        <w:noBreakHyphen/>
        <w:t xml:space="preserve"> DO PAGAMENTO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 </w:t>
      </w:r>
      <w:r w:rsidRPr="00CA2795">
        <w:rPr>
          <w:rFonts w:ascii="Verdana" w:hAnsi="Verdan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CA2795">
        <w:rPr>
          <w:rFonts w:ascii="Verdana" w:hAnsi="Verdana" w:cs="Arial"/>
          <w:bCs/>
        </w:rPr>
        <w:t xml:space="preserve">em até 30 (trinta) dias após recebimento </w:t>
      </w:r>
      <w:r w:rsidRPr="00CA2795">
        <w:rPr>
          <w:rFonts w:ascii="Verdana" w:hAnsi="Verdana" w:cs="Arial"/>
        </w:rPr>
        <w:t>definitivo pela unidade requisitante</w:t>
      </w:r>
      <w:r w:rsidRPr="00CA2795">
        <w:rPr>
          <w:rFonts w:ascii="Verdana" w:hAnsi="Verdana" w:cs="Arial"/>
          <w:bCs/>
        </w:rPr>
        <w:t xml:space="preserve"> do objeto, </w:t>
      </w:r>
      <w:r w:rsidRPr="00CA2795">
        <w:rPr>
          <w:rFonts w:ascii="Verdana" w:hAnsi="Verdana" w:cs="Arial"/>
        </w:rPr>
        <w:t>mediante apresentação da Nota Fiscal.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 w:cs="Arial"/>
        </w:rPr>
        <w:t xml:space="preserve">II </w:t>
      </w:r>
      <w:r w:rsidRPr="00CA2795">
        <w:rPr>
          <w:rFonts w:ascii="Verdana" w:hAnsi="Verdana" w:cs="Arial"/>
        </w:rPr>
        <w:noBreakHyphen/>
        <w:t xml:space="preserve"> </w:t>
      </w:r>
      <w:r w:rsidRPr="00CA2795">
        <w:rPr>
          <w:rFonts w:ascii="Verdana" w:hAnsi="Verdana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46EE3" w:rsidRPr="00CA2795" w:rsidRDefault="00E83D4F">
      <w:pPr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/>
        </w:rPr>
        <w:t xml:space="preserve">I= (TX/100) </w:t>
      </w:r>
    </w:p>
    <w:p w:rsidR="00346EE3" w:rsidRPr="00CA2795" w:rsidRDefault="00E83D4F">
      <w:pPr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/>
        </w:rPr>
        <w:t xml:space="preserve">EM = I x N x VP, onde: </w:t>
      </w:r>
    </w:p>
    <w:p w:rsidR="00346EE3" w:rsidRPr="00CA2795" w:rsidRDefault="00E83D4F">
      <w:pPr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/>
        </w:rPr>
        <w:t xml:space="preserve">I = Índice de atualização financeira; </w:t>
      </w:r>
    </w:p>
    <w:p w:rsidR="00346EE3" w:rsidRPr="00CA2795" w:rsidRDefault="00E83D4F">
      <w:pPr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/>
        </w:rPr>
        <w:t xml:space="preserve">TX = Percentual da taxa de juros de mora anual; </w:t>
      </w:r>
    </w:p>
    <w:p w:rsidR="00346EE3" w:rsidRPr="00CA2795" w:rsidRDefault="00E83D4F">
      <w:pPr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/>
        </w:rPr>
        <w:t xml:space="preserve">EM = Encargos moratórios; </w:t>
      </w:r>
    </w:p>
    <w:p w:rsidR="00346EE3" w:rsidRPr="00CA2795" w:rsidRDefault="00E83D4F">
      <w:pPr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/>
        </w:rPr>
        <w:t xml:space="preserve">N = Número de dias entre a data prevista para o pagamento e a do efetivo pagamento; </w:t>
      </w:r>
    </w:p>
    <w:p w:rsidR="00346EE3" w:rsidRPr="00CA2795" w:rsidRDefault="00E83D4F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CA2795">
        <w:rPr>
          <w:rFonts w:ascii="Verdana" w:hAnsi="Verdana" w:cs="Arial"/>
          <w:sz w:val="22"/>
          <w:szCs w:val="22"/>
        </w:rPr>
        <w:t>VP = Valor da parcela em atraso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CA2795" w:rsidRDefault="00E83D4F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07 </w:t>
      </w:r>
      <w:r w:rsidRPr="00CA2795">
        <w:rPr>
          <w:rFonts w:ascii="Verdana" w:hAnsi="Verdana" w:cs="Arial"/>
          <w:b/>
        </w:rPr>
        <w:noBreakHyphen/>
        <w:t xml:space="preserve"> DAS CONDIÇÕES DE FORNECIMENTO</w:t>
      </w:r>
    </w:p>
    <w:p w:rsidR="00346EE3" w:rsidRPr="00CA2795" w:rsidRDefault="00346EE3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 </w:t>
      </w:r>
      <w:r w:rsidRPr="00CA2795">
        <w:rPr>
          <w:rFonts w:ascii="Verdana" w:hAnsi="Verdan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II </w:t>
      </w:r>
      <w:r w:rsidRPr="00CA2795">
        <w:rPr>
          <w:rFonts w:ascii="Verdana" w:hAnsi="Verdan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III </w:t>
      </w:r>
      <w:r w:rsidRPr="00CA2795">
        <w:rPr>
          <w:rFonts w:ascii="Verdana" w:hAnsi="Verdan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IV </w:t>
      </w:r>
      <w:r w:rsidRPr="00CA2795">
        <w:rPr>
          <w:rFonts w:ascii="Verdana" w:hAnsi="Verdana" w:cs="Arial"/>
        </w:rPr>
        <w:noBreakHyphen/>
        <w:t xml:space="preserve"> Os produtos deverão ser entregues acompanhados da Nota Fiscal ou Nota Fiscal Fatura, conforme o caso.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V </w:t>
      </w:r>
      <w:r w:rsidRPr="00CA2795">
        <w:rPr>
          <w:rFonts w:ascii="Verdana" w:hAnsi="Verdan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VI </w:t>
      </w:r>
      <w:r w:rsidRPr="00CA2795">
        <w:rPr>
          <w:rFonts w:ascii="Verdana" w:hAnsi="Verdan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VII </w:t>
      </w:r>
      <w:r w:rsidRPr="00CA2795">
        <w:rPr>
          <w:rFonts w:ascii="Verdana" w:hAnsi="Verdan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>VIII – Apresentar a atualização, a cada 180 dias, da Certidão Negativa de Débito Trabalhista (CNDT) referida na Lei nº 12.440 de 07.07.2011.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tabs>
          <w:tab w:val="left" w:pos="92"/>
          <w:tab w:val="right" w:pos="4024"/>
        </w:tabs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08 </w:t>
      </w:r>
      <w:r w:rsidRPr="00CA2795">
        <w:rPr>
          <w:rFonts w:ascii="Verdana" w:hAnsi="Verdana" w:cs="Arial"/>
          <w:b/>
        </w:rPr>
        <w:noBreakHyphen/>
        <w:t xml:space="preserve"> DAS PENALIDADES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796EC9">
      <w:pPr>
        <w:tabs>
          <w:tab w:val="left" w:pos="1245"/>
        </w:tabs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 w:cs="Arial"/>
        </w:rPr>
        <w:t>I –</w:t>
      </w:r>
      <w:r w:rsidR="00E83D4F" w:rsidRPr="00CA2795">
        <w:rPr>
          <w:rFonts w:ascii="Verdana" w:hAnsi="Verdana" w:cs="Arial"/>
        </w:rPr>
        <w:t xml:space="preserve"> Recusando-se a vencedora a assinatura da ata sem motivo justificado, caracterizará o descumprimento total da obrigação assumida, sujeitando-se </w:t>
      </w:r>
      <w:proofErr w:type="spellStart"/>
      <w:r w:rsidR="00E83D4F" w:rsidRPr="00CA2795">
        <w:rPr>
          <w:rFonts w:ascii="Verdana" w:hAnsi="Verdana" w:cs="Arial"/>
        </w:rPr>
        <w:t>á</w:t>
      </w:r>
      <w:proofErr w:type="spellEnd"/>
      <w:r w:rsidR="00E83D4F" w:rsidRPr="00CA2795">
        <w:rPr>
          <w:rFonts w:ascii="Verdana" w:hAnsi="Verdan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796EC9">
      <w:pPr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 w:cs="Arial"/>
        </w:rPr>
        <w:t>II –</w:t>
      </w:r>
      <w:r w:rsidR="00E83D4F" w:rsidRPr="00CA2795">
        <w:rPr>
          <w:rFonts w:ascii="Verdana" w:hAnsi="Verdana" w:cs="Arial"/>
        </w:rPr>
        <w:t xml:space="preserve"> Em caso de inexecução parcial ou total das condições fixadas no contrato, erros ou atrasos no cumprimento do contrato e quaisquer outras </w:t>
      </w:r>
      <w:r w:rsidR="00E83D4F" w:rsidRPr="00CA2795">
        <w:rPr>
          <w:rFonts w:ascii="Verdana" w:hAnsi="Verdana" w:cs="Arial"/>
        </w:rPr>
        <w:lastRenderedPageBreak/>
        <w:t>irregularidades, a Administração poderá, garantida a prévia defesa, aplicar ao contratado as seguintes sanções: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796EC9">
      <w:pPr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 w:cs="Arial"/>
        </w:rPr>
        <w:t>A</w:t>
      </w:r>
      <w:r w:rsidR="00E83D4F" w:rsidRPr="00CA2795">
        <w:rPr>
          <w:rFonts w:ascii="Verdana" w:hAnsi="Verdana" w:cs="Arial"/>
        </w:rPr>
        <w:t>. Advertência;</w:t>
      </w:r>
    </w:p>
    <w:p w:rsidR="00346EE3" w:rsidRPr="00CA2795" w:rsidRDefault="00346EE3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46EE3" w:rsidRPr="00CA2795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CA2795">
        <w:rPr>
          <w:rFonts w:ascii="Verdana" w:hAnsi="Verdana" w:cs="Arial"/>
          <w:sz w:val="22"/>
          <w:szCs w:val="22"/>
        </w:rPr>
        <w:t>B</w:t>
      </w:r>
      <w:r w:rsidR="00E83D4F" w:rsidRPr="00CA2795">
        <w:rPr>
          <w:rFonts w:ascii="Verdana" w:hAnsi="Verdana" w:cs="Arial"/>
          <w:sz w:val="22"/>
          <w:szCs w:val="22"/>
        </w:rPr>
        <w:t>. Multa de 0,3% (três décimos por cento) por dia, até o 10</w:t>
      </w:r>
      <w:r w:rsidR="00E83D4F" w:rsidRPr="00CA279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="00E83D4F" w:rsidRPr="00CA2795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46EE3" w:rsidRPr="00CA2795" w:rsidRDefault="00346EE3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46EE3" w:rsidRPr="00CA2795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CA2795">
        <w:rPr>
          <w:rFonts w:ascii="Verdana" w:hAnsi="Verdana" w:cs="Arial"/>
          <w:sz w:val="22"/>
          <w:szCs w:val="22"/>
        </w:rPr>
        <w:t>C</w:t>
      </w:r>
      <w:r w:rsidR="00E83D4F" w:rsidRPr="00CA2795">
        <w:rPr>
          <w:rFonts w:ascii="Verdana" w:hAnsi="Verdana" w:cs="Arial"/>
          <w:sz w:val="22"/>
          <w:szCs w:val="22"/>
        </w:rPr>
        <w:t xml:space="preserve">. Multa de </w:t>
      </w:r>
      <w:r w:rsidR="006674DA" w:rsidRPr="00CA2795">
        <w:rPr>
          <w:rFonts w:ascii="Verdana" w:hAnsi="Verdana" w:cs="Arial"/>
          <w:sz w:val="22"/>
          <w:szCs w:val="22"/>
        </w:rPr>
        <w:t>10</w:t>
      </w:r>
      <w:r w:rsidR="00E83D4F" w:rsidRPr="00CA2795">
        <w:rPr>
          <w:rFonts w:ascii="Verdana" w:hAnsi="Verdana" w:cs="Arial"/>
          <w:sz w:val="22"/>
          <w:szCs w:val="22"/>
        </w:rPr>
        <w:t>% (</w:t>
      </w:r>
      <w:r w:rsidR="006674DA" w:rsidRPr="00CA2795">
        <w:rPr>
          <w:rFonts w:ascii="Verdana" w:hAnsi="Verdana" w:cs="Arial"/>
          <w:sz w:val="22"/>
          <w:szCs w:val="22"/>
        </w:rPr>
        <w:t>dez</w:t>
      </w:r>
      <w:r w:rsidR="00E83D4F" w:rsidRPr="00CA2795">
        <w:rPr>
          <w:rFonts w:ascii="Verdana" w:hAnsi="Verdana" w:cs="Arial"/>
          <w:sz w:val="22"/>
          <w:szCs w:val="22"/>
        </w:rPr>
        <w:t xml:space="preserve"> por cento) sobre o valor do saldo do valor do contrato, no caso de atraso superior a 10 (dez) dias, com a consequente rescisão contratual, quando for o caso;</w:t>
      </w:r>
    </w:p>
    <w:p w:rsidR="00346EE3" w:rsidRPr="00CA2795" w:rsidRDefault="00346EE3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46EE3" w:rsidRPr="00CA2795" w:rsidRDefault="00796EC9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CA2795">
        <w:rPr>
          <w:rFonts w:ascii="Verdana" w:hAnsi="Verdana" w:cs="Arial"/>
          <w:sz w:val="22"/>
          <w:szCs w:val="22"/>
        </w:rPr>
        <w:t>D</w:t>
      </w:r>
      <w:r w:rsidR="00E83D4F" w:rsidRPr="00CA2795">
        <w:rPr>
          <w:rFonts w:ascii="Verdana" w:hAnsi="Verdana" w:cs="Arial"/>
          <w:sz w:val="22"/>
          <w:szCs w:val="22"/>
        </w:rPr>
        <w:t xml:space="preserve">. Multa de </w:t>
      </w:r>
      <w:r w:rsidR="006674DA" w:rsidRPr="00CA2795">
        <w:rPr>
          <w:rFonts w:ascii="Verdana" w:hAnsi="Verdana" w:cs="Arial"/>
          <w:sz w:val="22"/>
          <w:szCs w:val="22"/>
        </w:rPr>
        <w:t xml:space="preserve">10 </w:t>
      </w:r>
      <w:r w:rsidR="00E83D4F" w:rsidRPr="00CA2795">
        <w:rPr>
          <w:rFonts w:ascii="Verdana" w:hAnsi="Verdana" w:cs="Arial"/>
          <w:sz w:val="22"/>
          <w:szCs w:val="22"/>
        </w:rPr>
        <w:t>% (</w:t>
      </w:r>
      <w:r w:rsidR="006674DA" w:rsidRPr="00CA2795">
        <w:rPr>
          <w:rFonts w:ascii="Verdana" w:hAnsi="Verdana" w:cs="Arial"/>
          <w:sz w:val="22"/>
          <w:szCs w:val="22"/>
        </w:rPr>
        <w:t>dez</w:t>
      </w:r>
      <w:r w:rsidR="00E83D4F" w:rsidRPr="00CA2795">
        <w:rPr>
          <w:rFonts w:ascii="Verdana" w:hAnsi="Verdana" w:cs="Arial"/>
          <w:sz w:val="22"/>
          <w:szCs w:val="22"/>
        </w:rPr>
        <w:t xml:space="preserve"> por cento) sobre o valor do contrato, nos casos:</w:t>
      </w:r>
    </w:p>
    <w:p w:rsidR="00346EE3" w:rsidRPr="00CA2795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CA2795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CA2795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46EE3" w:rsidRPr="00CA2795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CA2795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CA2795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46EE3" w:rsidRPr="00CA2795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CA2795" w:rsidRDefault="00E83D4F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CA2795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46EE3" w:rsidRPr="00CA2795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CA2795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CA2795">
        <w:rPr>
          <w:rFonts w:ascii="Verdana" w:hAnsi="Verdana" w:cs="Arial"/>
          <w:sz w:val="22"/>
          <w:szCs w:val="22"/>
        </w:rPr>
        <w:t>d) descumprimento de cláusula contratual.</w:t>
      </w:r>
    </w:p>
    <w:p w:rsidR="00346EE3" w:rsidRPr="00CA2795" w:rsidRDefault="00346EE3">
      <w:pPr>
        <w:tabs>
          <w:tab w:val="center" w:pos="2268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796EC9">
      <w:pPr>
        <w:tabs>
          <w:tab w:val="center" w:pos="2268"/>
        </w:tabs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 w:cs="Arial"/>
        </w:rPr>
        <w:t>III –</w:t>
      </w:r>
      <w:r w:rsidR="00E83D4F" w:rsidRPr="00CA2795">
        <w:rPr>
          <w:rFonts w:ascii="Verdana" w:hAnsi="Verdana" w:cs="Arial"/>
        </w:rPr>
        <w:t xml:space="preserve"> </w:t>
      </w:r>
      <w:r w:rsidR="00E83D4F" w:rsidRPr="00CA2795">
        <w:rPr>
          <w:rFonts w:ascii="Verdana" w:hAnsi="Verdan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2C36F6">
      <w:pPr>
        <w:spacing w:after="0" w:line="240" w:lineRule="auto"/>
        <w:jc w:val="both"/>
        <w:rPr>
          <w:rFonts w:ascii="Verdana" w:hAnsi="Verdana"/>
        </w:rPr>
      </w:pPr>
      <w:r w:rsidRPr="00CA2795">
        <w:rPr>
          <w:rFonts w:ascii="Verdana" w:hAnsi="Verdana" w:cs="Arial"/>
        </w:rPr>
        <w:t xml:space="preserve">IV – </w:t>
      </w:r>
      <w:r w:rsidR="00E83D4F" w:rsidRPr="00CA2795">
        <w:rPr>
          <w:rFonts w:ascii="Verdana" w:hAnsi="Verdana" w:cs="Arial"/>
        </w:rPr>
        <w:t>Declaração de inidoneidade para licitar ou contratar com a Administração Pública, enquanto perdurarem os motivos determinantes da punição ou até que o contratante promova sua reabilitação.</w:t>
      </w:r>
    </w:p>
    <w:p w:rsidR="00346EE3" w:rsidRPr="00CA2795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CA2795" w:rsidRDefault="002C36F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CA2795">
        <w:rPr>
          <w:rFonts w:ascii="Verdana" w:hAnsi="Verdana" w:cs="Arial"/>
          <w:sz w:val="22"/>
          <w:szCs w:val="22"/>
        </w:rPr>
        <w:t>V -</w:t>
      </w:r>
      <w:r w:rsidR="00E83D4F" w:rsidRPr="00CA2795">
        <w:rPr>
          <w:rFonts w:ascii="Verdana" w:hAnsi="Verdana" w:cs="Arial"/>
          <w:sz w:val="22"/>
          <w:szCs w:val="22"/>
        </w:rPr>
        <w:t xml:space="preserve">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46EE3" w:rsidRPr="00CA2795" w:rsidRDefault="00346EE3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46EE3" w:rsidRPr="00CA2795" w:rsidRDefault="00E83D4F">
      <w:pPr>
        <w:tabs>
          <w:tab w:val="right" w:pos="6019"/>
        </w:tabs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09 </w:t>
      </w:r>
      <w:r w:rsidRPr="00CA2795">
        <w:rPr>
          <w:rFonts w:ascii="Verdana" w:hAnsi="Verdana" w:cs="Arial"/>
          <w:b/>
        </w:rPr>
        <w:noBreakHyphen/>
        <w:t xml:space="preserve"> DOS REAJUSTAMENTOS DE PREÇOS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 </w:t>
      </w:r>
      <w:r w:rsidRPr="00CA2795">
        <w:rPr>
          <w:rFonts w:ascii="Verdana" w:hAnsi="Verdan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54C02" w:rsidRPr="00CA2795">
        <w:rPr>
          <w:rFonts w:ascii="Verdana" w:hAnsi="Verdana" w:cs="Arial"/>
        </w:rPr>
        <w:t>044/2018</w:t>
      </w:r>
      <w:r w:rsidRPr="00CA2795">
        <w:rPr>
          <w:rFonts w:ascii="Verdana" w:hAnsi="Verdana" w:cs="Arial"/>
        </w:rPr>
        <w:t xml:space="preserve">, que </w:t>
      </w:r>
      <w:r w:rsidRPr="00CA2795">
        <w:rPr>
          <w:rFonts w:ascii="Verdana" w:hAnsi="Verdana" w:cs="Arial"/>
        </w:rPr>
        <w:lastRenderedPageBreak/>
        <w:t>integra a presente Ata de Registro de Preços, ressalvados os casos de revisão de registro a que se refere o Decreto instituidor do Registro de preços.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II </w:t>
      </w:r>
      <w:r w:rsidRPr="00CA2795">
        <w:rPr>
          <w:rFonts w:ascii="Verdana" w:hAnsi="Verdan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10 </w:t>
      </w:r>
      <w:r w:rsidRPr="00CA2795">
        <w:rPr>
          <w:rFonts w:ascii="Verdana" w:hAnsi="Verdana" w:cs="Arial"/>
          <w:b/>
        </w:rPr>
        <w:noBreakHyphen/>
        <w:t xml:space="preserve"> DAS CONDIÇÕES DE RECEBIMENTO DO OBJETO DA ATA DE REGISTRO DE PREÇOS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 </w:t>
      </w:r>
      <w:r w:rsidRPr="00CA2795">
        <w:rPr>
          <w:rFonts w:ascii="Verdana" w:hAnsi="Verdan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II </w:t>
      </w:r>
      <w:r w:rsidRPr="00CA2795">
        <w:rPr>
          <w:rFonts w:ascii="Verdana" w:hAnsi="Verdana" w:cs="Arial"/>
        </w:rPr>
        <w:noBreakHyphen/>
        <w:t xml:space="preserve"> A cada fornecimento serão emitidos recibos, nos termos do art. 73, II, “a” e “b”, da Lei Federal 8.666/93.</w:t>
      </w:r>
    </w:p>
    <w:p w:rsidR="00346EE3" w:rsidRPr="00CA2795" w:rsidRDefault="00346EE3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11 </w:t>
      </w:r>
      <w:r w:rsidRPr="00CA2795">
        <w:rPr>
          <w:rFonts w:ascii="Verdana" w:hAnsi="Verdana" w:cs="Arial"/>
          <w:b/>
        </w:rPr>
        <w:noBreakHyphen/>
        <w:t xml:space="preserve"> DO CANCELAMENTO DA ATA DE REGISTRO DE PREÇOS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I </w:t>
      </w:r>
      <w:r w:rsidRPr="00CA2795">
        <w:rPr>
          <w:rFonts w:ascii="Verdana" w:hAnsi="Verdana" w:cs="Arial"/>
        </w:rPr>
        <w:noBreakHyphen/>
        <w:t xml:space="preserve"> A presente Ata de Registro de Preços poderá ser cancelada, de pleno direito:</w:t>
      </w:r>
    </w:p>
    <w:p w:rsidR="00346EE3" w:rsidRPr="00CA2795" w:rsidRDefault="00346EE3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CA2795" w:rsidRDefault="00E83D4F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>Pela Administração, quando:</w:t>
      </w:r>
    </w:p>
    <w:p w:rsidR="00346EE3" w:rsidRPr="00CA2795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A </w:t>
      </w:r>
      <w:r w:rsidRPr="00CA2795">
        <w:rPr>
          <w:rFonts w:ascii="Verdana" w:hAnsi="Verdana" w:cs="Arial"/>
        </w:rPr>
        <w:noBreakHyphen/>
        <w:t xml:space="preserve"> </w:t>
      </w:r>
      <w:proofErr w:type="spellStart"/>
      <w:r w:rsidRPr="00CA2795">
        <w:rPr>
          <w:rFonts w:ascii="Verdana" w:hAnsi="Verdana" w:cs="Arial"/>
        </w:rPr>
        <w:t>a</w:t>
      </w:r>
      <w:proofErr w:type="spellEnd"/>
      <w:r w:rsidRPr="00CA2795">
        <w:rPr>
          <w:rFonts w:ascii="Verdana" w:hAnsi="Verdana" w:cs="Arial"/>
        </w:rPr>
        <w:t xml:space="preserve"> detentora não cumprir as obrigações constantes desta Ata de Registro de Preços;</w:t>
      </w:r>
    </w:p>
    <w:p w:rsidR="00346EE3" w:rsidRPr="00CA2795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B </w:t>
      </w:r>
      <w:r w:rsidRPr="00CA2795">
        <w:rPr>
          <w:rFonts w:ascii="Verdana" w:hAnsi="Verdana" w:cs="Arial"/>
        </w:rPr>
        <w:noBreakHyphen/>
        <w:t xml:space="preserve"> a detentora não retirar qualquer Ordem de Fornecimento, no prazo estabelecido, e a Administração não aceitar sua justificativa;</w:t>
      </w:r>
    </w:p>
    <w:p w:rsidR="00346EE3" w:rsidRPr="00CA2795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C </w:t>
      </w:r>
      <w:r w:rsidRPr="00CA2795">
        <w:rPr>
          <w:rFonts w:ascii="Verdana" w:hAnsi="Verdana" w:cs="Arial"/>
        </w:rPr>
        <w:noBreakHyphen/>
        <w:t xml:space="preserve"> a detentora der causa a rescisão administrativa de contrato decorrente de registro de preços, a critério da Administração;</w:t>
      </w:r>
    </w:p>
    <w:p w:rsidR="00346EE3" w:rsidRPr="00CA2795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D </w:t>
      </w:r>
      <w:r w:rsidRPr="00CA2795">
        <w:rPr>
          <w:rFonts w:ascii="Verdana" w:hAnsi="Verdan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46EE3" w:rsidRPr="00CA2795" w:rsidRDefault="00346EE3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E </w:t>
      </w:r>
      <w:r w:rsidRPr="00CA2795">
        <w:rPr>
          <w:rFonts w:ascii="Verdana" w:hAnsi="Verdana" w:cs="Arial"/>
        </w:rPr>
        <w:noBreakHyphen/>
        <w:t xml:space="preserve"> os preços registrados se apresentarem superiores aos praticados no mercado;</w:t>
      </w:r>
    </w:p>
    <w:p w:rsidR="00346EE3" w:rsidRPr="00CA2795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F </w:t>
      </w:r>
      <w:r w:rsidRPr="00CA2795">
        <w:rPr>
          <w:rFonts w:ascii="Verdana" w:hAnsi="Verdana" w:cs="Arial"/>
        </w:rPr>
        <w:noBreakHyphen/>
        <w:t xml:space="preserve"> por razões de interesse público devidamente demonstradas e justificadas pela Administração;</w:t>
      </w:r>
    </w:p>
    <w:p w:rsidR="00346EE3" w:rsidRPr="00CA2795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CA2795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CA2795">
        <w:rPr>
          <w:rFonts w:ascii="Verdana" w:hAnsi="Verdana"/>
          <w:sz w:val="22"/>
          <w:szCs w:val="22"/>
        </w:rPr>
        <w:t xml:space="preserve">G </w:t>
      </w:r>
      <w:r w:rsidRPr="00CA2795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*no caso de ser ignorado, incerto ou inacessível o endereço da detentora, a comunicação será feita por publicação no órgão encarregado das publicações </w:t>
      </w:r>
      <w:r w:rsidRPr="00CA2795">
        <w:rPr>
          <w:rFonts w:ascii="Verdana" w:hAnsi="Verdana" w:cs="Arial"/>
        </w:rPr>
        <w:lastRenderedPageBreak/>
        <w:t>oficiais do Município, considerando-se cancelado o preço registrado a partir da publicação.</w:t>
      </w:r>
    </w:p>
    <w:p w:rsidR="00346EE3" w:rsidRPr="00CA2795" w:rsidRDefault="00346EE3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46EE3" w:rsidRPr="00CA2795" w:rsidRDefault="00E83D4F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CA2795">
        <w:rPr>
          <w:rFonts w:ascii="Verdana" w:hAnsi="Verdana" w:cs="Arial"/>
          <w:b/>
          <w:sz w:val="22"/>
          <w:szCs w:val="22"/>
        </w:rPr>
        <w:t>Pelas detentoras, quando</w:t>
      </w:r>
      <w:r w:rsidRPr="00CA2795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46EE3" w:rsidRPr="00CA2795" w:rsidRDefault="00346EE3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46EE3" w:rsidRPr="00CA2795" w:rsidRDefault="00E83D4F">
      <w:pPr>
        <w:tabs>
          <w:tab w:val="left" w:pos="717"/>
        </w:tabs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A </w:t>
      </w:r>
      <w:r w:rsidRPr="00CA2795">
        <w:rPr>
          <w:rFonts w:ascii="Verdana" w:hAnsi="Verdana" w:cs="Arial"/>
        </w:rPr>
        <w:noBreakHyphen/>
        <w:t xml:space="preserve"> </w:t>
      </w:r>
      <w:proofErr w:type="spellStart"/>
      <w:r w:rsidRPr="00CA2795">
        <w:rPr>
          <w:rFonts w:ascii="Verdana" w:hAnsi="Verdana" w:cs="Arial"/>
        </w:rPr>
        <w:t>a</w:t>
      </w:r>
      <w:proofErr w:type="spellEnd"/>
      <w:r w:rsidRPr="00CA2795">
        <w:rPr>
          <w:rFonts w:ascii="Verdana" w:hAnsi="Verdan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46EE3" w:rsidRPr="00CA2795" w:rsidRDefault="00346EE3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CA2795" w:rsidRDefault="00E83D4F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 xml:space="preserve">12 </w:t>
      </w:r>
      <w:r w:rsidRPr="00CA2795">
        <w:rPr>
          <w:rFonts w:ascii="Verdana" w:hAnsi="Verdana" w:cs="Arial"/>
          <w:b/>
        </w:rPr>
        <w:noBreakHyphen/>
        <w:t xml:space="preserve"> DA AUTORIZAÇÃO PARA FORNECIMENTO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>I</w:t>
      </w:r>
      <w:r w:rsidRPr="00CA2795">
        <w:rPr>
          <w:rFonts w:ascii="Verdana" w:hAnsi="Verdana" w:cs="Arial"/>
          <w:b/>
        </w:rPr>
        <w:t xml:space="preserve"> </w:t>
      </w:r>
      <w:r w:rsidRPr="00CA2795">
        <w:rPr>
          <w:rFonts w:ascii="Verdana" w:hAnsi="Verdana" w:cs="Arial"/>
          <w:b/>
        </w:rPr>
        <w:noBreakHyphen/>
      </w:r>
      <w:r w:rsidRPr="00CA2795">
        <w:rPr>
          <w:rFonts w:ascii="Verdana" w:hAnsi="Verdana" w:cs="Arial"/>
        </w:rPr>
        <w:t xml:space="preserve"> As aquisições do objeto da presente Ata de Registro de Preços serão autorizadas, caso a caso, pelo Secretário requisitante.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CA2795">
        <w:rPr>
          <w:rFonts w:ascii="Verdana" w:hAnsi="Verdana" w:cs="Arial"/>
          <w:b/>
        </w:rPr>
        <w:t>13- DAS DISPOSIÇÕES FINAIS</w:t>
      </w:r>
    </w:p>
    <w:p w:rsidR="00346EE3" w:rsidRPr="00CA2795" w:rsidRDefault="00346EE3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CA2795" w:rsidRDefault="00E83D4F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CA2795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754C02" w:rsidRPr="00CA2795">
        <w:rPr>
          <w:rFonts w:ascii="Verdana" w:hAnsi="Verdana" w:cs="Arial"/>
          <w:sz w:val="22"/>
          <w:szCs w:val="22"/>
        </w:rPr>
        <w:t>044/2018</w:t>
      </w:r>
      <w:r w:rsidRPr="00CA2795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46EE3" w:rsidRPr="00CA2795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tabs>
          <w:tab w:val="right" w:pos="9112"/>
        </w:tabs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>14.2. Fica eleito o foro desta Comarca de Pitangui/MG para dirimir quaisquer questões decorrentes da utilização da presente Ata.</w:t>
      </w:r>
    </w:p>
    <w:p w:rsidR="00346EE3" w:rsidRPr="00CA2795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346EE3" w:rsidRPr="00CA2795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CA2795" w:rsidRDefault="00346EE3">
      <w:pPr>
        <w:spacing w:after="0" w:line="240" w:lineRule="auto"/>
        <w:jc w:val="center"/>
        <w:rPr>
          <w:rFonts w:ascii="Verdana" w:hAnsi="Verdana" w:cs="Arial"/>
        </w:rPr>
      </w:pPr>
    </w:p>
    <w:p w:rsidR="00346EE3" w:rsidRPr="00CA2795" w:rsidRDefault="00E83D4F">
      <w:pPr>
        <w:spacing w:after="0" w:line="240" w:lineRule="auto"/>
        <w:jc w:val="both"/>
        <w:rPr>
          <w:rFonts w:ascii="Verdana" w:hAnsi="Verdana" w:cs="Arial"/>
        </w:rPr>
      </w:pPr>
      <w:r w:rsidRPr="00CA2795">
        <w:rPr>
          <w:rFonts w:ascii="Verdana" w:hAnsi="Verdana" w:cs="Arial"/>
        </w:rPr>
        <w:t xml:space="preserve">Papagaios, </w:t>
      </w:r>
      <w:r w:rsidR="002303CA" w:rsidRPr="00CA2795">
        <w:rPr>
          <w:rFonts w:ascii="Verdana" w:hAnsi="Verdana" w:cs="Arial"/>
        </w:rPr>
        <w:t>08 de junho de 2018</w:t>
      </w:r>
      <w:r w:rsidRPr="00CA2795">
        <w:rPr>
          <w:rFonts w:ascii="Verdana" w:hAnsi="Verdana" w:cs="Arial"/>
        </w:rPr>
        <w:t>.</w:t>
      </w:r>
    </w:p>
    <w:p w:rsidR="00346EE3" w:rsidRPr="00CA2795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2F2A46" w:rsidRPr="00CA2795" w:rsidRDefault="002F2A46" w:rsidP="002303CA">
      <w:pPr>
        <w:pStyle w:val="Corpodetexto"/>
        <w:spacing w:after="0"/>
        <w:jc w:val="center"/>
        <w:rPr>
          <w:rFonts w:ascii="Verdana" w:hAnsi="Verdana" w:cs="Verdana"/>
          <w:sz w:val="22"/>
          <w:szCs w:val="22"/>
        </w:rPr>
      </w:pPr>
    </w:p>
    <w:p w:rsidR="002303CA" w:rsidRPr="00CA2795" w:rsidRDefault="002303CA" w:rsidP="002303CA">
      <w:pPr>
        <w:pStyle w:val="Corpodetexto"/>
        <w:spacing w:after="0"/>
        <w:jc w:val="center"/>
        <w:rPr>
          <w:rFonts w:ascii="Verdana" w:hAnsi="Verdana"/>
          <w:sz w:val="22"/>
          <w:szCs w:val="22"/>
        </w:rPr>
      </w:pPr>
      <w:r w:rsidRPr="00CA2795">
        <w:rPr>
          <w:rFonts w:ascii="Verdana" w:hAnsi="Verdana" w:cs="Verdana"/>
          <w:sz w:val="22"/>
          <w:szCs w:val="22"/>
        </w:rPr>
        <w:t>Município de Papagaios/MG</w:t>
      </w:r>
    </w:p>
    <w:p w:rsidR="002303CA" w:rsidRPr="00CA2795" w:rsidRDefault="002303CA" w:rsidP="002303CA">
      <w:pPr>
        <w:pStyle w:val="Corpodetexto"/>
        <w:spacing w:after="0"/>
        <w:jc w:val="center"/>
        <w:rPr>
          <w:rFonts w:ascii="Verdana" w:hAnsi="Verdana"/>
          <w:sz w:val="22"/>
          <w:szCs w:val="22"/>
        </w:rPr>
      </w:pPr>
      <w:r w:rsidRPr="00CA2795">
        <w:rPr>
          <w:rFonts w:ascii="Verdana" w:hAnsi="Verdana" w:cs="Verdana"/>
          <w:sz w:val="22"/>
          <w:szCs w:val="22"/>
        </w:rPr>
        <w:t xml:space="preserve">Mário Reis </w:t>
      </w:r>
      <w:proofErr w:type="spellStart"/>
      <w:r w:rsidRPr="00CA2795">
        <w:rPr>
          <w:rFonts w:ascii="Verdana" w:hAnsi="Verdana" w:cs="Verdana"/>
          <w:sz w:val="22"/>
          <w:szCs w:val="22"/>
        </w:rPr>
        <w:t>Filgueiras</w:t>
      </w:r>
      <w:proofErr w:type="spellEnd"/>
    </w:p>
    <w:p w:rsidR="002303CA" w:rsidRPr="00CA2795" w:rsidRDefault="002303CA" w:rsidP="002303CA">
      <w:pPr>
        <w:pStyle w:val="Corpodetexto"/>
        <w:spacing w:after="0"/>
        <w:jc w:val="center"/>
        <w:rPr>
          <w:rFonts w:ascii="Verdana" w:hAnsi="Verdana" w:cs="Verdana"/>
          <w:sz w:val="22"/>
          <w:szCs w:val="22"/>
        </w:rPr>
      </w:pPr>
    </w:p>
    <w:p w:rsidR="002303CA" w:rsidRPr="00CA2795" w:rsidRDefault="002303CA" w:rsidP="002303CA">
      <w:pPr>
        <w:pStyle w:val="Corpodetexto"/>
        <w:spacing w:after="0"/>
        <w:jc w:val="center"/>
        <w:rPr>
          <w:rFonts w:ascii="Verdana" w:hAnsi="Verdana" w:cs="Verdana"/>
          <w:sz w:val="22"/>
          <w:szCs w:val="22"/>
        </w:rPr>
      </w:pPr>
    </w:p>
    <w:p w:rsidR="002F2A46" w:rsidRPr="00CA2795" w:rsidRDefault="002F2A46" w:rsidP="002303CA">
      <w:pPr>
        <w:pStyle w:val="Corpodetexto"/>
        <w:spacing w:after="0"/>
        <w:jc w:val="center"/>
        <w:rPr>
          <w:rFonts w:ascii="Verdana" w:hAnsi="Verdana" w:cs="Verdana"/>
          <w:sz w:val="22"/>
          <w:szCs w:val="22"/>
        </w:rPr>
      </w:pPr>
    </w:p>
    <w:p w:rsidR="002303CA" w:rsidRPr="00CA2795" w:rsidRDefault="002303CA" w:rsidP="002303CA">
      <w:pPr>
        <w:pStyle w:val="Corpodetexto"/>
        <w:spacing w:after="0"/>
        <w:jc w:val="center"/>
        <w:rPr>
          <w:rFonts w:ascii="Verdana" w:hAnsi="Verdana" w:cs="Verdana"/>
          <w:sz w:val="22"/>
          <w:szCs w:val="22"/>
        </w:rPr>
      </w:pPr>
      <w:proofErr w:type="spellStart"/>
      <w:r w:rsidRPr="00CA2795">
        <w:rPr>
          <w:rFonts w:ascii="Verdana" w:hAnsi="Verdana" w:cs="Verdana"/>
          <w:sz w:val="22"/>
          <w:szCs w:val="22"/>
        </w:rPr>
        <w:t>Xylem</w:t>
      </w:r>
      <w:proofErr w:type="spellEnd"/>
      <w:r w:rsidRPr="00CA2795">
        <w:rPr>
          <w:rFonts w:ascii="Verdana" w:hAnsi="Verdana" w:cs="Verdana"/>
          <w:sz w:val="22"/>
          <w:szCs w:val="22"/>
        </w:rPr>
        <w:t xml:space="preserve"> Brasil Soluções Para Água </w:t>
      </w:r>
      <w:proofErr w:type="spellStart"/>
      <w:r w:rsidRPr="00CA2795">
        <w:rPr>
          <w:rFonts w:ascii="Verdana" w:hAnsi="Verdana" w:cs="Verdana"/>
          <w:sz w:val="22"/>
          <w:szCs w:val="22"/>
        </w:rPr>
        <w:t>Ltda</w:t>
      </w:r>
      <w:proofErr w:type="spellEnd"/>
    </w:p>
    <w:p w:rsidR="002303CA" w:rsidRPr="00CA2795" w:rsidRDefault="002303CA" w:rsidP="002303CA">
      <w:pPr>
        <w:pStyle w:val="Corpodetexto"/>
        <w:spacing w:after="0"/>
        <w:jc w:val="center"/>
        <w:rPr>
          <w:rFonts w:ascii="Verdana" w:hAnsi="Verdana" w:cs="Verdana"/>
          <w:sz w:val="22"/>
          <w:szCs w:val="22"/>
        </w:rPr>
      </w:pPr>
      <w:r w:rsidRPr="00CA2795">
        <w:rPr>
          <w:rFonts w:ascii="Verdana" w:hAnsi="Verdana" w:cs="Verdana"/>
          <w:sz w:val="22"/>
          <w:szCs w:val="22"/>
        </w:rPr>
        <w:t xml:space="preserve">CNPJ/MF </w:t>
      </w:r>
      <w:r w:rsidR="00E44D71">
        <w:rPr>
          <w:rFonts w:ascii="Verdana" w:hAnsi="Verdana" w:cs="Verdana"/>
          <w:sz w:val="22"/>
          <w:szCs w:val="22"/>
        </w:rPr>
        <w:t>60.039.401/0001-87</w:t>
      </w:r>
      <w:bookmarkStart w:id="0" w:name="_GoBack"/>
      <w:bookmarkEnd w:id="0"/>
    </w:p>
    <w:sectPr w:rsidR="002303CA" w:rsidRPr="00CA279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B3" w:rsidRDefault="00CB31B3">
      <w:pPr>
        <w:spacing w:after="0" w:line="240" w:lineRule="auto"/>
      </w:pPr>
      <w:r>
        <w:separator/>
      </w:r>
    </w:p>
  </w:endnote>
  <w:endnote w:type="continuationSeparator" w:id="0">
    <w:p w:rsidR="00CB31B3" w:rsidRDefault="00C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60" w:rsidRDefault="00443060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B3" w:rsidRDefault="00CB31B3">
      <w:pPr>
        <w:spacing w:after="0" w:line="240" w:lineRule="auto"/>
      </w:pPr>
      <w:r>
        <w:separator/>
      </w:r>
    </w:p>
  </w:footnote>
  <w:footnote w:type="continuationSeparator" w:id="0">
    <w:p w:rsidR="00CB31B3" w:rsidRDefault="00CB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43060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43060" w:rsidRDefault="0044306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443060" w:rsidRDefault="0044306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43060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43060" w:rsidRDefault="0044306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43060" w:rsidRDefault="0044306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443060" w:rsidRDefault="00443060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2D3507"/>
    <w:multiLevelType w:val="hybridMultilevel"/>
    <w:tmpl w:val="4E42B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10A48"/>
    <w:multiLevelType w:val="hybridMultilevel"/>
    <w:tmpl w:val="87761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26B1B"/>
    <w:rsid w:val="00051AB1"/>
    <w:rsid w:val="00071E54"/>
    <w:rsid w:val="0008701C"/>
    <w:rsid w:val="000A4B24"/>
    <w:rsid w:val="001668A2"/>
    <w:rsid w:val="001772CB"/>
    <w:rsid w:val="001B5D1E"/>
    <w:rsid w:val="001F001F"/>
    <w:rsid w:val="00210FD8"/>
    <w:rsid w:val="00226106"/>
    <w:rsid w:val="002303CA"/>
    <w:rsid w:val="00247BEF"/>
    <w:rsid w:val="00273549"/>
    <w:rsid w:val="00273F19"/>
    <w:rsid w:val="002B687F"/>
    <w:rsid w:val="002C36F6"/>
    <w:rsid w:val="002F2A46"/>
    <w:rsid w:val="003102B1"/>
    <w:rsid w:val="003209D5"/>
    <w:rsid w:val="003457EA"/>
    <w:rsid w:val="00346EE3"/>
    <w:rsid w:val="003D1005"/>
    <w:rsid w:val="003F46E8"/>
    <w:rsid w:val="003F55D1"/>
    <w:rsid w:val="003F7166"/>
    <w:rsid w:val="00443060"/>
    <w:rsid w:val="00447F80"/>
    <w:rsid w:val="004526D9"/>
    <w:rsid w:val="0047203D"/>
    <w:rsid w:val="004C5BCB"/>
    <w:rsid w:val="004D4BFA"/>
    <w:rsid w:val="0050254C"/>
    <w:rsid w:val="0050380B"/>
    <w:rsid w:val="005401F2"/>
    <w:rsid w:val="005937A6"/>
    <w:rsid w:val="005A0CC7"/>
    <w:rsid w:val="005A3440"/>
    <w:rsid w:val="005E339C"/>
    <w:rsid w:val="00656227"/>
    <w:rsid w:val="0066409A"/>
    <w:rsid w:val="00665CA5"/>
    <w:rsid w:val="006674DA"/>
    <w:rsid w:val="006709C5"/>
    <w:rsid w:val="006733C4"/>
    <w:rsid w:val="00745EE8"/>
    <w:rsid w:val="00754C02"/>
    <w:rsid w:val="00765FCA"/>
    <w:rsid w:val="0077017E"/>
    <w:rsid w:val="007723EA"/>
    <w:rsid w:val="00775184"/>
    <w:rsid w:val="00777A1B"/>
    <w:rsid w:val="00790E98"/>
    <w:rsid w:val="00796EC9"/>
    <w:rsid w:val="007E7333"/>
    <w:rsid w:val="008020A0"/>
    <w:rsid w:val="00804E05"/>
    <w:rsid w:val="0083489F"/>
    <w:rsid w:val="00874C98"/>
    <w:rsid w:val="00890BAB"/>
    <w:rsid w:val="008A15DB"/>
    <w:rsid w:val="00932F04"/>
    <w:rsid w:val="00934867"/>
    <w:rsid w:val="009A3E72"/>
    <w:rsid w:val="009A7F3E"/>
    <w:rsid w:val="00A011B4"/>
    <w:rsid w:val="00A15133"/>
    <w:rsid w:val="00A177FE"/>
    <w:rsid w:val="00A22EEA"/>
    <w:rsid w:val="00A33EC6"/>
    <w:rsid w:val="00A34FDC"/>
    <w:rsid w:val="00A711E6"/>
    <w:rsid w:val="00AC4553"/>
    <w:rsid w:val="00B328B9"/>
    <w:rsid w:val="00B64D6A"/>
    <w:rsid w:val="00B804BE"/>
    <w:rsid w:val="00BA11BA"/>
    <w:rsid w:val="00BD188C"/>
    <w:rsid w:val="00BE1A58"/>
    <w:rsid w:val="00C37202"/>
    <w:rsid w:val="00CA2795"/>
    <w:rsid w:val="00CB1158"/>
    <w:rsid w:val="00CB31B3"/>
    <w:rsid w:val="00CD3EEF"/>
    <w:rsid w:val="00CE7F25"/>
    <w:rsid w:val="00D17C0D"/>
    <w:rsid w:val="00DC6EF8"/>
    <w:rsid w:val="00E44D71"/>
    <w:rsid w:val="00E64DB3"/>
    <w:rsid w:val="00E83D4F"/>
    <w:rsid w:val="00E9650E"/>
    <w:rsid w:val="00EF4DD3"/>
    <w:rsid w:val="00F04523"/>
    <w:rsid w:val="00F255A0"/>
    <w:rsid w:val="00F32758"/>
    <w:rsid w:val="00F735E6"/>
    <w:rsid w:val="00F858CD"/>
    <w:rsid w:val="00FC20C9"/>
    <w:rsid w:val="00F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C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spacing w:after="0" w:line="240" w:lineRule="auto"/>
      <w:ind w:left="1152" w:hanging="1152"/>
      <w:outlineLvl w:val="5"/>
    </w:pPr>
    <w:rPr>
      <w:rFonts w:ascii="Arial" w:eastAsia="Times New Roman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after="0" w:line="380" w:lineRule="atLeast"/>
      <w:ind w:left="1440" w:firstLine="46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Times New Roman" w:eastAsia="Times New Roman" w:hAnsi="Times New Roman" w:cs="Arial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 w:line="240" w:lineRule="auto"/>
      <w:jc w:val="center"/>
    </w:pPr>
    <w:rPr>
      <w:rFonts w:ascii="Tahoma" w:eastAsia="Times New Roman" w:hAnsi="Tahoma" w:cs="Tahoma"/>
      <w:b/>
      <w:bCs/>
      <w:iCs/>
      <w:sz w:val="24"/>
      <w:szCs w:val="20"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 w:line="240" w:lineRule="auto"/>
      <w:ind w:left="1843" w:firstLine="567"/>
    </w:pPr>
    <w:rPr>
      <w:rFonts w:ascii="Tahoma" w:eastAsia="Times New Roman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qFormat/>
    <w:rsid w:val="0078564D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5401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3111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11</cp:revision>
  <cp:lastPrinted>2018-03-14T13:07:00Z</cp:lastPrinted>
  <dcterms:created xsi:type="dcterms:W3CDTF">2018-07-30T18:11:00Z</dcterms:created>
  <dcterms:modified xsi:type="dcterms:W3CDTF">2018-08-03T12:30:00Z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