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2303CA" w:rsidRDefault="00E83D4F" w:rsidP="0050254C">
      <w:pPr>
        <w:spacing w:after="0" w:line="240" w:lineRule="auto"/>
        <w:jc w:val="both"/>
        <w:rPr>
          <w:rFonts w:ascii="Verdana" w:hAnsi="Verdana"/>
          <w:b/>
        </w:rPr>
      </w:pPr>
      <w:r w:rsidRPr="002303CA">
        <w:rPr>
          <w:rFonts w:ascii="Verdana" w:hAnsi="Verdana"/>
          <w:b/>
        </w:rPr>
        <w:t xml:space="preserve">PROCESSO LICITATÓRIO Nº </w:t>
      </w:r>
      <w:r w:rsidR="00754C02" w:rsidRPr="002303CA">
        <w:rPr>
          <w:rFonts w:ascii="Verdana" w:hAnsi="Verdana"/>
          <w:b/>
        </w:rPr>
        <w:t>074/2018</w:t>
      </w:r>
    </w:p>
    <w:p w:rsidR="00346EE3" w:rsidRPr="002303CA" w:rsidRDefault="00E83D4F" w:rsidP="0050254C">
      <w:pPr>
        <w:spacing w:after="0" w:line="240" w:lineRule="auto"/>
        <w:jc w:val="both"/>
        <w:rPr>
          <w:rFonts w:ascii="Verdana" w:hAnsi="Verdana" w:cs="Arial"/>
          <w:b/>
        </w:rPr>
      </w:pPr>
      <w:r w:rsidRPr="002303CA">
        <w:rPr>
          <w:rFonts w:ascii="Verdana" w:hAnsi="Verdana" w:cs="Arial"/>
          <w:b/>
        </w:rPr>
        <w:t xml:space="preserve">PREGÃO PRESENCIAL Nº </w:t>
      </w:r>
      <w:r w:rsidR="00754C02" w:rsidRPr="002303CA">
        <w:rPr>
          <w:rFonts w:ascii="Verdana" w:hAnsi="Verdana" w:cs="Arial"/>
          <w:b/>
        </w:rPr>
        <w:t>044/2018</w:t>
      </w:r>
    </w:p>
    <w:p w:rsidR="00346EE3" w:rsidRPr="002303CA" w:rsidRDefault="00346EE3" w:rsidP="0050254C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2303CA" w:rsidRDefault="00346EE3" w:rsidP="0050254C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2303CA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2303CA">
        <w:rPr>
          <w:rFonts w:ascii="Verdana" w:hAnsi="Verdana" w:cs="Arial"/>
        </w:rPr>
        <w:t xml:space="preserve">ATA DE REGISTRO DE PREÇOS Nº </w:t>
      </w:r>
      <w:r w:rsidR="00890BAB" w:rsidRPr="002303CA">
        <w:rPr>
          <w:rFonts w:ascii="Verdana" w:hAnsi="Verdana" w:cs="Arial"/>
        </w:rPr>
        <w:t>033</w:t>
      </w:r>
      <w:r w:rsidR="00CE7F25" w:rsidRPr="002303CA">
        <w:rPr>
          <w:rFonts w:ascii="Verdana" w:hAnsi="Verdana" w:cs="Arial"/>
        </w:rPr>
        <w:t>/2018</w:t>
      </w:r>
      <w:r w:rsidRPr="002303CA">
        <w:rPr>
          <w:rFonts w:ascii="Verdana" w:hAnsi="Verdana" w:cs="Arial"/>
        </w:rPr>
        <w:t>.</w:t>
      </w:r>
    </w:p>
    <w:p w:rsidR="00346EE3" w:rsidRPr="002303CA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2303CA">
        <w:rPr>
          <w:rFonts w:ascii="Verdana" w:hAnsi="Verdana" w:cs="Arial"/>
        </w:rPr>
        <w:t xml:space="preserve">PREGÃO Nº </w:t>
      </w:r>
      <w:r w:rsidR="00754C02" w:rsidRPr="002303CA">
        <w:rPr>
          <w:rFonts w:ascii="Verdana" w:hAnsi="Verdana" w:cs="Arial"/>
        </w:rPr>
        <w:t>074/2018</w:t>
      </w:r>
      <w:r w:rsidRPr="002303CA">
        <w:rPr>
          <w:rFonts w:ascii="Verdana" w:hAnsi="Verdana" w:cs="Arial"/>
        </w:rPr>
        <w:t>.</w:t>
      </w:r>
    </w:p>
    <w:p w:rsidR="00346EE3" w:rsidRPr="002303CA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2303CA">
        <w:rPr>
          <w:rFonts w:ascii="Verdana" w:hAnsi="Verdana" w:cs="Arial"/>
        </w:rPr>
        <w:t xml:space="preserve">PROCESSO Nº </w:t>
      </w:r>
      <w:r w:rsidR="00754C02" w:rsidRPr="002303CA">
        <w:rPr>
          <w:rFonts w:ascii="Verdana" w:hAnsi="Verdana" w:cs="Arial"/>
        </w:rPr>
        <w:t>044/2018</w:t>
      </w:r>
      <w:r w:rsidRPr="002303CA">
        <w:rPr>
          <w:rFonts w:ascii="Verdana" w:hAnsi="Verdana" w:cs="Arial"/>
        </w:rPr>
        <w:t>.</w:t>
      </w:r>
    </w:p>
    <w:p w:rsidR="00346EE3" w:rsidRPr="002303CA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2303CA" w:rsidRDefault="00E83D4F" w:rsidP="0050254C">
      <w:pPr>
        <w:spacing w:after="0" w:line="240" w:lineRule="auto"/>
        <w:jc w:val="both"/>
        <w:rPr>
          <w:rFonts w:ascii="Verdana" w:hAnsi="Verdana" w:cs="Arial"/>
        </w:rPr>
      </w:pPr>
      <w:r w:rsidRPr="002303CA">
        <w:rPr>
          <w:rFonts w:ascii="Verdana" w:hAnsi="Verdana" w:cs="Arial"/>
        </w:rPr>
        <w:t>VALIDADE: 12 meses.</w:t>
      </w:r>
    </w:p>
    <w:p w:rsidR="00346EE3" w:rsidRPr="002303CA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2303CA" w:rsidRDefault="00346EE3" w:rsidP="0050254C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2303CA" w:rsidRDefault="0050254C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2303CA">
        <w:rPr>
          <w:rFonts w:ascii="Verdana" w:hAnsi="Verdana" w:cs="Arial"/>
          <w:sz w:val="22"/>
          <w:szCs w:val="22"/>
        </w:rPr>
        <w:t xml:space="preserve">Aos </w:t>
      </w:r>
      <w:r w:rsidR="0050380B" w:rsidRPr="002303CA">
        <w:rPr>
          <w:rFonts w:ascii="Verdana" w:hAnsi="Verdana" w:cs="Arial"/>
          <w:sz w:val="22"/>
          <w:szCs w:val="22"/>
        </w:rPr>
        <w:t xml:space="preserve">08 (oito) </w:t>
      </w:r>
      <w:r w:rsidRPr="002303CA">
        <w:rPr>
          <w:rFonts w:ascii="Verdana" w:hAnsi="Verdana" w:cs="Arial"/>
          <w:sz w:val="22"/>
          <w:szCs w:val="22"/>
        </w:rPr>
        <w:t>dias do mês de</w:t>
      </w:r>
      <w:r w:rsidR="00E83D4F" w:rsidRPr="002303CA">
        <w:rPr>
          <w:rFonts w:ascii="Verdana" w:hAnsi="Verdana" w:cs="Arial"/>
          <w:sz w:val="22"/>
          <w:szCs w:val="22"/>
        </w:rPr>
        <w:t xml:space="preserve"> </w:t>
      </w:r>
      <w:r w:rsidR="0050380B" w:rsidRPr="002303CA">
        <w:rPr>
          <w:rFonts w:ascii="Verdana" w:hAnsi="Verdana" w:cs="Arial"/>
          <w:sz w:val="22"/>
          <w:szCs w:val="22"/>
        </w:rPr>
        <w:t>junho</w:t>
      </w:r>
      <w:r w:rsidR="00E83D4F" w:rsidRPr="002303CA">
        <w:rPr>
          <w:rFonts w:ascii="Verdana" w:hAnsi="Verdana" w:cs="Arial"/>
          <w:sz w:val="22"/>
          <w:szCs w:val="22"/>
        </w:rPr>
        <w:t xml:space="preserve"> de </w:t>
      </w:r>
      <w:r w:rsidR="003209D5" w:rsidRPr="002303CA">
        <w:rPr>
          <w:rFonts w:ascii="Verdana" w:hAnsi="Verdana" w:cs="Arial"/>
          <w:sz w:val="22"/>
          <w:szCs w:val="22"/>
        </w:rPr>
        <w:t>2018</w:t>
      </w:r>
      <w:r w:rsidR="00E83D4F" w:rsidRPr="002303CA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50380B" w:rsidRPr="002303CA">
        <w:rPr>
          <w:rFonts w:ascii="Verdana" w:hAnsi="Verdana" w:cs="Arial"/>
          <w:sz w:val="22"/>
          <w:szCs w:val="22"/>
        </w:rPr>
        <w:t>Avenida Francisco Valadares da Fonseca, nº. 250, bairro Vasco Lopes, Papagaios/MG, CEP 35.669-00</w:t>
      </w:r>
      <w:r w:rsidR="00E83D4F" w:rsidRPr="002303CA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DC6EF8" w:rsidRPr="002303CA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DC6EF8" w:rsidRPr="002303CA">
        <w:rPr>
          <w:rFonts w:ascii="Verdana" w:hAnsi="Verdana" w:cs="Arial"/>
          <w:sz w:val="22"/>
          <w:szCs w:val="22"/>
        </w:rPr>
        <w:t>Filgueiras</w:t>
      </w:r>
      <w:proofErr w:type="spellEnd"/>
      <w:r w:rsidR="00E83D4F" w:rsidRPr="002303CA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754C02" w:rsidRPr="002303CA">
        <w:rPr>
          <w:rFonts w:ascii="Verdana" w:hAnsi="Verdana" w:cs="Arial"/>
          <w:sz w:val="22"/>
          <w:szCs w:val="22"/>
        </w:rPr>
        <w:t>044/2018</w:t>
      </w:r>
      <w:r w:rsidR="00E83D4F" w:rsidRPr="002303CA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754C02" w:rsidRPr="002303CA">
        <w:rPr>
          <w:rFonts w:ascii="Verdana" w:hAnsi="Verdana" w:cs="Arial"/>
          <w:sz w:val="22"/>
          <w:szCs w:val="22"/>
        </w:rPr>
        <w:t>074/2018</w:t>
      </w:r>
      <w:r w:rsidR="00E83D4F" w:rsidRPr="002303CA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A22EEA" w:rsidRPr="002303CA">
        <w:rPr>
          <w:rFonts w:ascii="Verdana" w:hAnsi="Verdana"/>
          <w:b/>
          <w:sz w:val="22"/>
          <w:szCs w:val="22"/>
        </w:rPr>
        <w:t>XYLEM BRASIL SOLUÇÕES PARA ÁGUA LTDA</w:t>
      </w:r>
      <w:r w:rsidR="00A22EEA" w:rsidRPr="002303CA">
        <w:rPr>
          <w:rFonts w:ascii="Verdana" w:hAnsi="Verdana"/>
          <w:sz w:val="22"/>
          <w:szCs w:val="22"/>
        </w:rPr>
        <w:t xml:space="preserve">, localizado na </w:t>
      </w:r>
      <w:r w:rsidR="00A177FE">
        <w:rPr>
          <w:rFonts w:ascii="Verdana" w:hAnsi="Verdana"/>
          <w:sz w:val="22"/>
          <w:szCs w:val="22"/>
        </w:rPr>
        <w:t>Rua Telmo Coelho Filho, nº. 40, Vila Albano, São Paulo/SP, CEP 05.543-020</w:t>
      </w:r>
      <w:r w:rsidR="00A22EEA" w:rsidRPr="002303CA">
        <w:rPr>
          <w:rFonts w:ascii="Verdana" w:hAnsi="Verdana"/>
          <w:sz w:val="22"/>
          <w:szCs w:val="22"/>
        </w:rPr>
        <w:t xml:space="preserve">, cujo CNPJ é </w:t>
      </w:r>
      <w:r w:rsidR="00A177FE">
        <w:rPr>
          <w:rFonts w:ascii="Verdana" w:hAnsi="Verdana"/>
          <w:sz w:val="22"/>
          <w:szCs w:val="22"/>
        </w:rPr>
        <w:t>60.039.401/0001-87</w:t>
      </w:r>
      <w:r w:rsidR="00A22EEA" w:rsidRPr="002303CA">
        <w:rPr>
          <w:rFonts w:ascii="Verdana" w:hAnsi="Verdana"/>
          <w:sz w:val="22"/>
          <w:szCs w:val="22"/>
        </w:rPr>
        <w:t xml:space="preserve">, neste ato representado por Mario Rolando </w:t>
      </w:r>
      <w:proofErr w:type="spellStart"/>
      <w:r w:rsidR="00A22EEA" w:rsidRPr="002303CA">
        <w:rPr>
          <w:rFonts w:ascii="Verdana" w:hAnsi="Verdana"/>
          <w:sz w:val="22"/>
          <w:szCs w:val="22"/>
        </w:rPr>
        <w:t>Ramacciotti</w:t>
      </w:r>
      <w:proofErr w:type="spellEnd"/>
      <w:r w:rsidR="00A22EEA" w:rsidRPr="002303CA">
        <w:rPr>
          <w:rFonts w:ascii="Verdana" w:hAnsi="Verdana"/>
          <w:sz w:val="22"/>
          <w:szCs w:val="22"/>
        </w:rPr>
        <w:t>, inscrito no CPF/MF sob o nº. 014.631.078-03 e Antônio Claudinei da Silva, inscrito no CPF/MF sob o nº. 076.919.658-69, conforme quadro abaixo</w:t>
      </w:r>
      <w:r w:rsidR="00E83D4F" w:rsidRPr="002303CA">
        <w:rPr>
          <w:rFonts w:ascii="Verdana" w:hAnsi="Verdana" w:cs="Arial"/>
          <w:sz w:val="22"/>
          <w:szCs w:val="22"/>
        </w:rPr>
        <w:t>:</w:t>
      </w:r>
    </w:p>
    <w:p w:rsidR="00346EE3" w:rsidRPr="002303CA" w:rsidRDefault="00346EE3" w:rsidP="0050254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4"/>
        <w:gridCol w:w="2042"/>
        <w:gridCol w:w="955"/>
        <w:gridCol w:w="1045"/>
        <w:gridCol w:w="1045"/>
        <w:gridCol w:w="955"/>
        <w:gridCol w:w="1045"/>
        <w:gridCol w:w="955"/>
        <w:gridCol w:w="1147"/>
      </w:tblGrid>
      <w:tr w:rsidR="00E83D4F" w:rsidRPr="00874C98" w:rsidTr="0050254C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874C98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74C98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9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74C98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E83D4F" w:rsidRPr="00874C98" w:rsidTr="0050254C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874C98" w:rsidRPr="00874C98" w:rsidTr="0050254C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74C9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874C9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74C9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874C9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874C98">
              <w:rPr>
                <w:rFonts w:ascii="Verdana" w:hAnsi="Verdana" w:cs="Arial"/>
                <w:sz w:val="16"/>
                <w:szCs w:val="16"/>
              </w:rPr>
              <w:t>Qtde</w:t>
            </w:r>
            <w:proofErr w:type="spellEnd"/>
            <w:r w:rsidRPr="00874C98">
              <w:rPr>
                <w:rFonts w:ascii="Verdana" w:hAnsi="Verdana" w:cs="Arial"/>
                <w:sz w:val="16"/>
                <w:szCs w:val="16"/>
              </w:rPr>
              <w:t>. Estimada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46EE3" w:rsidRPr="00874C98" w:rsidRDefault="00E83D4F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874C98" w:rsidRPr="00874C98" w:rsidTr="0050254C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6EE3" w:rsidRPr="00874C98" w:rsidRDefault="0050380B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874C98"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tipo Centrifuga Submersível para ser </w:t>
            </w:r>
            <w:r w:rsidRPr="00874C98">
              <w:rPr>
                <w:rFonts w:ascii="Verdana" w:hAnsi="Verdana"/>
                <w:b/>
                <w:color w:val="FF0000"/>
                <w:sz w:val="16"/>
                <w:szCs w:val="16"/>
              </w:rPr>
              <w:t>reserva</w:t>
            </w:r>
            <w:r w:rsidRPr="00874C98">
              <w:rPr>
                <w:rFonts w:ascii="Verdana" w:hAnsi="Verdana"/>
                <w:sz w:val="16"/>
                <w:szCs w:val="16"/>
              </w:rPr>
              <w:t xml:space="preserve"> com garantia de não-entupimento, para recalque de águas servidas com sólidos fibrosos FLYGT modelo NP 3102 SH 257 4,8KW 220V 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do tipo monobloco, equipado com motor elétrico montado em câmara estanque, e rotor hidráulico montado diretamente no eixo do motor, com potência máxima nominal de 4,8KW, tensão de operação 440 Volts, trifásico </w:t>
            </w: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60Hz, rotor com 125mm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equipado com um lance de cabo elétrico para alimentação e controle do equipamento, dimensionado para trabalhar total ou parcialmente submerso, em ambiente confinado, ou ao tempo, com comprimento mínimo de 10m, dimensões e capacidades compatíveis com a corrente nominal do motor.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Principais características construtivas do cabo elétrico: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Número de condutores: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4, sendo um para aterramento na mesma bitola que os condutores de energia.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Isolação mínima: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600V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Limites de temperatura:</w:t>
            </w:r>
            <w:r w:rsidRPr="00874C98">
              <w:rPr>
                <w:rFonts w:ascii="Verdana" w:hAnsi="Verdana"/>
                <w:sz w:val="16"/>
                <w:szCs w:val="16"/>
              </w:rPr>
              <w:tab/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Para os condutores, no mínimo 90ºC, contínuo.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Do ambiente, no mínimo 70ºC, contínuo.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Materiais de construção: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Capa externa em borracha clorada polipropileno (CPE), ou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cloroprene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Isolante dos condutores e terra em borracha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etilenopropileno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(EPR).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Condutores flexíveis em cobre. 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sistema de guia e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içamento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</w:t>
            </w: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 xml:space="preserve">garantir que 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seja perfeitamente direcionada para o dispositivo de acoplamento automático, do modelo em questão.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DESENHO DA MOTOBOMBA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provida de um dispositivo que permita o acoplamento automático com o pedestal de descarga, que estará fixado no fundo do poço da elevatória.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dispositivo de acoplamento automático deverá garantir que 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fique firmemente apoiada no pedestal e que opere sem vibrações ou vazamentos.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Não será admitido nenhum tipo de elemento de fixação ou vedação que exija a entrada do operador no poço da elevatória, para acoplar ou desacoplar o equipamento.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perfeita vedação entre 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e o pedestal de descarga deverá ser promovida pelo contato direto entre as peças.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pintura de acabamento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e dos acessórios, excluindo-se as partes em borracha, as galvanizadas e as de aço inoxidável, deverá apresentar resistência adequada ao meio de trabalho e promover a não aderência das graxas e gorduras.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CONSTRUÇÃO DA MOTOBOMBA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Os principais fundidos do conjunto moto-bomba deverão ser em ferro cinzento, ASTM A-48 Classe 35B, com superfícies de acabamento liso, sem falhas de fundição ou irregularidades grosseiras.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alça de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içamento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, item importante para a segurança, bem como as porcas, parafusos, arruelas e os demais elementos de fixação, deverão ser de aço inoxidável AISI 304 ou material de qualidade superior.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vedação entre partes não móveis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obtida por meio de anéis do tipo “O” ou elementos de borracha, prensados por superfícies usinadas, de forma a promover a total vedação sem a necessidade do uso de adesivos, resinas, juntas químicas, ou materiais similares.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SISTEMA DE REFRIGERAÇÃO DO MOTOR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hd w:val="clear" w:color="auto" w:fill="FFFFFF"/>
              <w:spacing w:after="0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motor deverá possuir refrigeração feita por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haletas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VEDAÇÃO DO(S) CABO(S) ELÉTRICO(S)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entrada dos cabos elétricos de alimentação e de comando, se houver, deverá ser constituída de uma ou mais buchas de borracha comprimidas por superfícies rígidas, de forma a garantir a total estanqueidade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. Outros sistemas que utilizam </w:t>
            </w: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colas, resinas, juntas químicas, ou materiais similares não serão aceitos.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A caixa de ligações deverá conter uma placa, ou uma régua de bornes, capaz de promover conexões elétrica e mecanicamente seguras, tanto para os condutores de energia como para os de comando.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condutor de aterramento deverá obrigatoriamente ter seu ponto firme de instalação diretamente na carcaça e não nos bornes como os demais.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MOTOR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motor deverá ser do tipo assíncrono, com rotor em curto-circuito (gaiola de esquilo) alojado em câmara seca.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motor deverá ser de classe de isolação H, para suportar temperaturas de até180ºC, sem prejuízo das isolações e da vida útil.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motor deverá ser projetado para trabalho contínuo, ou intermitente, com o limite de partidas de até 15 por hora (1 partida a cada 4 minutos), em ambiente com temperaturas de até 40ºC.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Os enrolamentos do motor deverão ser providos de no mínimo três sensores térmicos do tipo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bi-metálico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, ou superior, para proteção contra superaquecimento dos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enrrolamentos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sistema de proteção térmica deverá ser </w:t>
            </w: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dimensionado para abrir a 140ºC e fechar automaticamente a 70ºC.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fator de serviço associado (efeito associado de tensão, frequência, peso específico e viscosidade do fluido bombeado), deverá ser de no mínimo 1,10.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motor deverá ser capaz de operar normalmente com variação da tensão de alimentação de ± 10% e de frequência para controle da rotação com limite mínimo de frequência igual a 30Hz.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Classe de proteção IP68, para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submergência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 até 20m em água doce.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DOCUMENTAÇÃO MÍNIMA A SER APRESENTADA COM A PROPOSTA TÉCNICA.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ab/>
              <w:t xml:space="preserve">Documentos relativos ao conjunto </w:t>
            </w:r>
            <w:proofErr w:type="spellStart"/>
            <w:r w:rsidRPr="00874C98">
              <w:rPr>
                <w:rFonts w:ascii="Verdana" w:hAnsi="Verdana"/>
                <w:b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Folha de dados devidamente preenchida, no padrão do fabricante,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Curva de performance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Curva de consumo de potência elétrica do 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Curvas de rendimento do bombeador,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Curva de rendimento total do 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Desenho dimensional de conjunto, incluindo o sistema de instalação.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Documentos padrão relativos ao motor: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Curvas de torque,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Curva de corrente elétrica,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Curva de eficiência,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Potência elétrica P1,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Potência no eixo P2,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Fator de potência a 50, 75 e 100% da carga,</w:t>
            </w:r>
          </w:p>
          <w:p w:rsidR="0050380B" w:rsidRPr="00874C98" w:rsidRDefault="0050380B" w:rsidP="0050380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Rendimento a 50,75 e 100% da carga. 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MANCAIS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Deverão ser obrigatoriamente do tipo rolamento, com lubrificação permanente a graxa.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VEDAÇÃO DO EIXO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provida de um sistema do tipo selo mecânico, capaz de promover a selagem do eixo em no mínimo dois pontos.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Cada conjunto de faces de selagem deverá ser dimensionado de forma a resistir ao ataque físico/químico do meio em que se encontram.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As faces dos selos mecânicos deverão ser lubrificadas e refrigeradas por fluidos inertes, atóxicos e que não agridam o meio ambiente.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Dar-se-á preferência aos dispositivos de selagem montados sobre cartuchos e que permitem a substituição do conjunto de selagem em campo.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provida de um sistema que minimize o efeito abrasivo sobre o selo que estará em </w:t>
            </w: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contato com o fluido bombeado.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Caso sejam necessários acessórios ou dispositivos complementares para viabilizar esse sistema, estes deverão ser devidamente especificados, quantificados e fornecidos como parte integrante da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>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Outros tipos de vedação, tais como retentores, gaxetas, não serão aceitos.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EIXO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material do eixo do deverá ser o aço inoxidável, com características mecânicas adequadas para suportar os esforços do conjunto bombeador.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HIDRÁULICA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>O rotor hidráulico deverá ser do tipo semiaberto, de múltiplas pás, com um perfil que elimine a possibilidade de entupimento e/ou travamento por retenção de trapos e sólidos fibrosos.</w:t>
            </w: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Devido à possibilidade de desbalanceamento provocado pelo desgaste normal do rotor hidráulico, dar-se-á preferência aos rotores de múltiplas pás. </w:t>
            </w: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rotor hidráulico deverá ser fabricado em ferro fundido cinzento, ASTM A-48 Classe 35B, com as bordas de ataque das pás termicamente tratadas para durezas não inferiores a 45HRC. </w:t>
            </w:r>
          </w:p>
          <w:p w:rsidR="0050380B" w:rsidRPr="00874C98" w:rsidRDefault="0050380B" w:rsidP="0050380B">
            <w:pPr>
              <w:pStyle w:val="Corpodetexto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lastRenderedPageBreak/>
              <w:t>A voluta da bomba deverá ser fundida em uma única peça, em ferro cinzento ASTM A-48 Classe 35B, com desenho não concêntrico.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b/>
                <w:sz w:val="16"/>
                <w:szCs w:val="16"/>
              </w:rPr>
              <w:t>PROTEÇÕES OBRIGATÓRIAS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conjunto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motobomba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deverá ser provido de um sensor de vazamento, tipo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Float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Leakage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Switch, que dispensa aferições e ajustes</w:t>
            </w: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50380B" w:rsidRPr="00874C98" w:rsidRDefault="0050380B" w:rsidP="0050380B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74C98">
              <w:rPr>
                <w:rFonts w:ascii="Verdana" w:hAnsi="Verdana"/>
                <w:sz w:val="16"/>
                <w:szCs w:val="16"/>
              </w:rPr>
              <w:t xml:space="preserve">O conjunto moto-bomba deverá ser fornecido com um relê de supervisão para operação do sistema de monitoramento contra falhas – temperatura do </w:t>
            </w:r>
            <w:proofErr w:type="spellStart"/>
            <w:r w:rsidRPr="00874C98">
              <w:rPr>
                <w:rFonts w:ascii="Verdana" w:hAnsi="Verdana"/>
                <w:sz w:val="16"/>
                <w:szCs w:val="16"/>
              </w:rPr>
              <w:t>estator</w:t>
            </w:r>
            <w:proofErr w:type="spellEnd"/>
            <w:r w:rsidRPr="00874C98">
              <w:rPr>
                <w:rFonts w:ascii="Verdana" w:hAnsi="Verdana"/>
                <w:sz w:val="16"/>
                <w:szCs w:val="16"/>
              </w:rPr>
              <w:t xml:space="preserve"> e vazamento nos selos mecânicos.</w:t>
            </w:r>
          </w:p>
          <w:p w:rsidR="00346EE3" w:rsidRPr="00874C98" w:rsidRDefault="00346EE3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25.575,00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51.150,00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51.150,00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46EE3" w:rsidRPr="00874C98" w:rsidRDefault="00874C98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255.750,00</w:t>
            </w:r>
          </w:p>
        </w:tc>
      </w:tr>
    </w:tbl>
    <w:p w:rsidR="00346EE3" w:rsidRPr="00CA2795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01 </w:t>
      </w:r>
      <w:r w:rsidRPr="00CA2795">
        <w:rPr>
          <w:rFonts w:ascii="Verdana" w:hAnsi="Verdana" w:cs="Arial"/>
          <w:b/>
        </w:rPr>
        <w:noBreakHyphen/>
        <w:t xml:space="preserve"> DO OBJETO: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CA2795">
        <w:rPr>
          <w:rFonts w:ascii="Verdana" w:hAnsi="Verdana"/>
          <w:sz w:val="22"/>
          <w:szCs w:val="22"/>
        </w:rPr>
        <w:t xml:space="preserve">I </w:t>
      </w:r>
      <w:r w:rsidRPr="00CA2795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CA2795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CA2795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02 </w:t>
      </w:r>
      <w:r w:rsidRPr="00CA2795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CA2795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III </w:t>
      </w:r>
      <w:r w:rsidRPr="00CA2795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03 </w:t>
      </w:r>
      <w:r w:rsidRPr="00CA2795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lastRenderedPageBreak/>
        <w:t xml:space="preserve">I </w:t>
      </w:r>
      <w:r w:rsidRPr="00CA2795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04 </w:t>
      </w:r>
      <w:r w:rsidRPr="00CA2795">
        <w:rPr>
          <w:rFonts w:ascii="Verdana" w:hAnsi="Verdana" w:cs="Arial"/>
          <w:b/>
        </w:rPr>
        <w:noBreakHyphen/>
        <w:t xml:space="preserve"> DO PREÇO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54C02" w:rsidRPr="00CA2795">
        <w:rPr>
          <w:rFonts w:ascii="Verdana" w:hAnsi="Verdana" w:cs="Arial"/>
        </w:rPr>
        <w:t>044/2018</w:t>
      </w:r>
      <w:r w:rsidRPr="00CA2795">
        <w:rPr>
          <w:rFonts w:ascii="Verdana" w:hAnsi="Verdana" w:cs="Arial"/>
        </w:rPr>
        <w:t>.</w:t>
      </w:r>
    </w:p>
    <w:p w:rsidR="00346EE3" w:rsidRPr="00CA2795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754C02" w:rsidRPr="00CA2795">
        <w:rPr>
          <w:rFonts w:ascii="Verdana" w:hAnsi="Verdana" w:cs="Arial"/>
        </w:rPr>
        <w:t>044/2018</w:t>
      </w:r>
      <w:r w:rsidRPr="00CA2795">
        <w:rPr>
          <w:rFonts w:ascii="Verdana" w:hAnsi="Verdana" w:cs="Arial"/>
        </w:rPr>
        <w:t>, que integra o presente instrumento de compromisso.</w:t>
      </w:r>
    </w:p>
    <w:p w:rsidR="00346EE3" w:rsidRPr="00CA2795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III </w:t>
      </w:r>
      <w:r w:rsidRPr="00CA2795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754C02" w:rsidRPr="00CA2795">
        <w:rPr>
          <w:rFonts w:ascii="Verdana" w:hAnsi="Verdana" w:cs="Arial"/>
        </w:rPr>
        <w:t>044/2018</w:t>
      </w:r>
      <w:r w:rsidRPr="00CA2795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CA2795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05 </w:t>
      </w:r>
      <w:r w:rsidRPr="00CA2795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06 </w:t>
      </w:r>
      <w:r w:rsidRPr="00CA2795">
        <w:rPr>
          <w:rFonts w:ascii="Verdana" w:hAnsi="Verdana" w:cs="Arial"/>
          <w:b/>
        </w:rPr>
        <w:noBreakHyphen/>
        <w:t xml:space="preserve"> DO PAGAMENTO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A2795">
        <w:rPr>
          <w:rFonts w:ascii="Verdana" w:hAnsi="Verdana" w:cs="Arial"/>
          <w:bCs/>
        </w:rPr>
        <w:t xml:space="preserve">em até 30 (trinta) dias após recebimento </w:t>
      </w:r>
      <w:r w:rsidRPr="00CA2795">
        <w:rPr>
          <w:rFonts w:ascii="Verdana" w:hAnsi="Verdana" w:cs="Arial"/>
        </w:rPr>
        <w:t>definitivo pela unidade requisitante</w:t>
      </w:r>
      <w:r w:rsidRPr="00CA2795">
        <w:rPr>
          <w:rFonts w:ascii="Verdana" w:hAnsi="Verdana" w:cs="Arial"/>
          <w:bCs/>
        </w:rPr>
        <w:t xml:space="preserve"> do objeto, </w:t>
      </w:r>
      <w:r w:rsidRPr="00CA2795">
        <w:rPr>
          <w:rFonts w:ascii="Verdana" w:hAnsi="Verdana" w:cs="Arial"/>
        </w:rPr>
        <w:t>mediante apresentação da Nota Fiscal.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</w:t>
      </w:r>
      <w:r w:rsidRPr="00CA2795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I= (TX/100) 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EM = I x N x VP, onde: 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I = Índice de atualização financeira; 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TX = Percentual da taxa de juros de mora anual; 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EM = Encargos moratórios; 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/>
        </w:rPr>
        <w:t xml:space="preserve">N = Número de dias entre a data prevista para o pagamento e a do efetivo pagamento; </w:t>
      </w:r>
    </w:p>
    <w:p w:rsidR="00346EE3" w:rsidRPr="00CA2795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CA2795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07 </w:t>
      </w:r>
      <w:r w:rsidRPr="00CA2795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CA2795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III </w:t>
      </w:r>
      <w:r w:rsidRPr="00CA2795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IV </w:t>
      </w:r>
      <w:r w:rsidRPr="00CA2795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V </w:t>
      </w:r>
      <w:r w:rsidRPr="00CA2795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VI </w:t>
      </w:r>
      <w:r w:rsidRPr="00CA2795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VII </w:t>
      </w:r>
      <w:r w:rsidRPr="00CA2795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08 </w:t>
      </w:r>
      <w:r w:rsidRPr="00CA2795">
        <w:rPr>
          <w:rFonts w:ascii="Verdana" w:hAnsi="Verdana" w:cs="Arial"/>
          <w:b/>
        </w:rPr>
        <w:noBreakHyphen/>
        <w:t xml:space="preserve"> DAS PENALIDADES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>I –</w:t>
      </w:r>
      <w:r w:rsidR="00E83D4F" w:rsidRPr="00CA2795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CA2795">
        <w:rPr>
          <w:rFonts w:ascii="Verdana" w:hAnsi="Verdana" w:cs="Arial"/>
        </w:rPr>
        <w:t>á</w:t>
      </w:r>
      <w:proofErr w:type="spellEnd"/>
      <w:r w:rsidR="00E83D4F" w:rsidRPr="00CA2795">
        <w:rPr>
          <w:rFonts w:ascii="Verdana" w:hAnsi="Verdan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796EC9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>II –</w:t>
      </w:r>
      <w:r w:rsidR="00E83D4F" w:rsidRPr="00CA2795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</w:t>
      </w:r>
      <w:r w:rsidR="00E83D4F" w:rsidRPr="00CA2795">
        <w:rPr>
          <w:rFonts w:ascii="Verdana" w:hAnsi="Verdana" w:cs="Arial"/>
        </w:rPr>
        <w:lastRenderedPageBreak/>
        <w:t>irregularidades, a Administração poderá, garantida a prévia defesa, aplicar ao contratado as seguintes sanções: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796EC9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>A</w:t>
      </w:r>
      <w:r w:rsidR="00E83D4F" w:rsidRPr="00CA2795">
        <w:rPr>
          <w:rFonts w:ascii="Verdana" w:hAnsi="Verdana" w:cs="Arial"/>
        </w:rPr>
        <w:t>. Advertência;</w:t>
      </w:r>
    </w:p>
    <w:p w:rsidR="00346EE3" w:rsidRPr="00CA2795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CA2795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B</w:t>
      </w:r>
      <w:r w:rsidR="00E83D4F" w:rsidRPr="00CA2795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CA279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CA279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CA2795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CA2795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C</w:t>
      </w:r>
      <w:r w:rsidR="00E83D4F" w:rsidRPr="00CA2795">
        <w:rPr>
          <w:rFonts w:ascii="Verdana" w:hAnsi="Verdana" w:cs="Arial"/>
          <w:sz w:val="22"/>
          <w:szCs w:val="22"/>
        </w:rPr>
        <w:t xml:space="preserve">. Multa de </w:t>
      </w:r>
      <w:r w:rsidR="006674DA" w:rsidRPr="00CA2795">
        <w:rPr>
          <w:rFonts w:ascii="Verdana" w:hAnsi="Verdana" w:cs="Arial"/>
          <w:sz w:val="22"/>
          <w:szCs w:val="22"/>
        </w:rPr>
        <w:t>10</w:t>
      </w:r>
      <w:r w:rsidR="00E83D4F" w:rsidRPr="00CA2795">
        <w:rPr>
          <w:rFonts w:ascii="Verdana" w:hAnsi="Verdana" w:cs="Arial"/>
          <w:sz w:val="22"/>
          <w:szCs w:val="22"/>
        </w:rPr>
        <w:t>% (</w:t>
      </w:r>
      <w:r w:rsidR="006674DA" w:rsidRPr="00CA2795">
        <w:rPr>
          <w:rFonts w:ascii="Verdana" w:hAnsi="Verdana" w:cs="Arial"/>
          <w:sz w:val="22"/>
          <w:szCs w:val="22"/>
        </w:rPr>
        <w:t>dez</w:t>
      </w:r>
      <w:r w:rsidR="00E83D4F" w:rsidRPr="00CA2795">
        <w:rPr>
          <w:rFonts w:ascii="Verdana" w:hAnsi="Verdana" w:cs="Arial"/>
          <w:sz w:val="22"/>
          <w:szCs w:val="22"/>
        </w:rPr>
        <w:t xml:space="preserve"> por cento) sobre o valor do saldo do valor do contrato, no caso de atraso superior a 10 (dez) dias, com a consequente rescisão contratual, quando for o caso;</w:t>
      </w:r>
    </w:p>
    <w:p w:rsidR="00346EE3" w:rsidRPr="00CA2795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CA2795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D</w:t>
      </w:r>
      <w:r w:rsidR="00E83D4F" w:rsidRPr="00CA2795">
        <w:rPr>
          <w:rFonts w:ascii="Verdana" w:hAnsi="Verdana" w:cs="Arial"/>
          <w:sz w:val="22"/>
          <w:szCs w:val="22"/>
        </w:rPr>
        <w:t xml:space="preserve">. Multa de </w:t>
      </w:r>
      <w:r w:rsidR="006674DA" w:rsidRPr="00CA2795">
        <w:rPr>
          <w:rFonts w:ascii="Verdana" w:hAnsi="Verdana" w:cs="Arial"/>
          <w:sz w:val="22"/>
          <w:szCs w:val="22"/>
        </w:rPr>
        <w:t xml:space="preserve">10 </w:t>
      </w:r>
      <w:r w:rsidR="00E83D4F" w:rsidRPr="00CA2795">
        <w:rPr>
          <w:rFonts w:ascii="Verdana" w:hAnsi="Verdana" w:cs="Arial"/>
          <w:sz w:val="22"/>
          <w:szCs w:val="22"/>
        </w:rPr>
        <w:t>% (</w:t>
      </w:r>
      <w:r w:rsidR="006674DA" w:rsidRPr="00CA2795">
        <w:rPr>
          <w:rFonts w:ascii="Verdana" w:hAnsi="Verdana" w:cs="Arial"/>
          <w:sz w:val="22"/>
          <w:szCs w:val="22"/>
        </w:rPr>
        <w:t>dez</w:t>
      </w:r>
      <w:r w:rsidR="00E83D4F" w:rsidRPr="00CA2795">
        <w:rPr>
          <w:rFonts w:ascii="Verdana" w:hAnsi="Verdana" w:cs="Arial"/>
          <w:sz w:val="22"/>
          <w:szCs w:val="22"/>
        </w:rPr>
        <w:t xml:space="preserve"> por cento) sobre o valor do contrato, nos casos:</w:t>
      </w:r>
    </w:p>
    <w:p w:rsidR="00346EE3" w:rsidRPr="00CA2795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CA2795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CA2795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46EE3" w:rsidRPr="00CA2795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CA2795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>III –</w:t>
      </w:r>
      <w:r w:rsidR="00E83D4F" w:rsidRPr="00CA2795">
        <w:rPr>
          <w:rFonts w:ascii="Verdana" w:hAnsi="Verdana" w:cs="Arial"/>
        </w:rPr>
        <w:t xml:space="preserve"> </w:t>
      </w:r>
      <w:r w:rsidR="00E83D4F" w:rsidRPr="00CA2795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2C36F6">
      <w:pPr>
        <w:spacing w:after="0" w:line="240" w:lineRule="auto"/>
        <w:jc w:val="both"/>
        <w:rPr>
          <w:rFonts w:ascii="Verdana" w:hAnsi="Verdana"/>
        </w:rPr>
      </w:pPr>
      <w:r w:rsidRPr="00CA2795">
        <w:rPr>
          <w:rFonts w:ascii="Verdana" w:hAnsi="Verdana" w:cs="Arial"/>
        </w:rPr>
        <w:t xml:space="preserve">IV – </w:t>
      </w:r>
      <w:r w:rsidR="00E83D4F" w:rsidRPr="00CA2795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CA2795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>V -</w:t>
      </w:r>
      <w:r w:rsidR="00E83D4F" w:rsidRPr="00CA2795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CA2795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CA2795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09 </w:t>
      </w:r>
      <w:r w:rsidRPr="00CA2795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4C02" w:rsidRPr="00CA2795">
        <w:rPr>
          <w:rFonts w:ascii="Verdana" w:hAnsi="Verdana" w:cs="Arial"/>
        </w:rPr>
        <w:t>044/2018</w:t>
      </w:r>
      <w:r w:rsidRPr="00CA2795">
        <w:rPr>
          <w:rFonts w:ascii="Verdana" w:hAnsi="Verdana" w:cs="Arial"/>
        </w:rPr>
        <w:t xml:space="preserve">, que </w:t>
      </w:r>
      <w:r w:rsidRPr="00CA2795">
        <w:rPr>
          <w:rFonts w:ascii="Verdana" w:hAnsi="Verdana" w:cs="Arial"/>
        </w:rPr>
        <w:lastRenderedPageBreak/>
        <w:t>integra a presente Ata de Registro de Preços, ressalvados os casos de revisão de registro a que se refere o Decreto instituidor do Registro de preços.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10 </w:t>
      </w:r>
      <w:r w:rsidRPr="00CA2795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II </w:t>
      </w:r>
      <w:r w:rsidRPr="00CA2795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CA2795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11 </w:t>
      </w:r>
      <w:r w:rsidRPr="00CA2795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I </w:t>
      </w:r>
      <w:r w:rsidRPr="00CA2795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CA2795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>Pela Administração, quando:</w:t>
      </w:r>
    </w:p>
    <w:p w:rsidR="00346EE3" w:rsidRPr="00CA27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A </w:t>
      </w:r>
      <w:r w:rsidRPr="00CA2795">
        <w:rPr>
          <w:rFonts w:ascii="Verdana" w:hAnsi="Verdana" w:cs="Arial"/>
        </w:rPr>
        <w:noBreakHyphen/>
        <w:t xml:space="preserve"> </w:t>
      </w:r>
      <w:proofErr w:type="spellStart"/>
      <w:r w:rsidRPr="00CA2795">
        <w:rPr>
          <w:rFonts w:ascii="Verdana" w:hAnsi="Verdana" w:cs="Arial"/>
        </w:rPr>
        <w:t>a</w:t>
      </w:r>
      <w:proofErr w:type="spellEnd"/>
      <w:r w:rsidRPr="00CA2795">
        <w:rPr>
          <w:rFonts w:ascii="Verdana" w:hAnsi="Verdana" w:cs="Arial"/>
        </w:rPr>
        <w:t xml:space="preserve"> detentora não cumprir as obrigações constantes desta Ata de Registro de Preços;</w:t>
      </w:r>
    </w:p>
    <w:p w:rsidR="00346EE3" w:rsidRPr="00CA27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B </w:t>
      </w:r>
      <w:r w:rsidRPr="00CA2795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CA27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C </w:t>
      </w:r>
      <w:r w:rsidRPr="00CA2795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CA27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D </w:t>
      </w:r>
      <w:r w:rsidRPr="00CA2795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CA2795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E </w:t>
      </w:r>
      <w:r w:rsidRPr="00CA2795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CA2795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F </w:t>
      </w:r>
      <w:r w:rsidRPr="00CA2795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CA2795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CA2795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CA2795">
        <w:rPr>
          <w:rFonts w:ascii="Verdana" w:hAnsi="Verdana"/>
          <w:sz w:val="22"/>
          <w:szCs w:val="22"/>
        </w:rPr>
        <w:t xml:space="preserve">G </w:t>
      </w:r>
      <w:r w:rsidRPr="00CA2795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*no caso de ser ignorado, incerto ou inacessível o endereço da detentora, a comunicação será feita por publicação no órgão encarregado das publicações </w:t>
      </w:r>
      <w:r w:rsidRPr="00CA2795">
        <w:rPr>
          <w:rFonts w:ascii="Verdana" w:hAnsi="Verdana" w:cs="Arial"/>
        </w:rPr>
        <w:lastRenderedPageBreak/>
        <w:t>oficiais do Município, considerando-se cancelado o preço registrado a partir da publicação.</w:t>
      </w:r>
    </w:p>
    <w:p w:rsidR="00346EE3" w:rsidRPr="00CA2795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CA2795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CA2795">
        <w:rPr>
          <w:rFonts w:ascii="Verdana" w:hAnsi="Verdana" w:cs="Arial"/>
          <w:b/>
          <w:sz w:val="22"/>
          <w:szCs w:val="22"/>
        </w:rPr>
        <w:t>Pelas detentoras, quando</w:t>
      </w:r>
      <w:r w:rsidRPr="00CA279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CA2795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CA2795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A </w:t>
      </w:r>
      <w:r w:rsidRPr="00CA2795">
        <w:rPr>
          <w:rFonts w:ascii="Verdana" w:hAnsi="Verdana" w:cs="Arial"/>
        </w:rPr>
        <w:noBreakHyphen/>
        <w:t xml:space="preserve"> </w:t>
      </w:r>
      <w:proofErr w:type="spellStart"/>
      <w:r w:rsidRPr="00CA2795">
        <w:rPr>
          <w:rFonts w:ascii="Verdana" w:hAnsi="Verdana" w:cs="Arial"/>
        </w:rPr>
        <w:t>a</w:t>
      </w:r>
      <w:proofErr w:type="spellEnd"/>
      <w:r w:rsidRPr="00CA2795">
        <w:rPr>
          <w:rFonts w:ascii="Verdana" w:hAnsi="Verdan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CA2795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CA2795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 xml:space="preserve">12 </w:t>
      </w:r>
      <w:r w:rsidRPr="00CA2795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>I</w:t>
      </w:r>
      <w:r w:rsidRPr="00CA2795">
        <w:rPr>
          <w:rFonts w:ascii="Verdana" w:hAnsi="Verdana" w:cs="Arial"/>
          <w:b/>
        </w:rPr>
        <w:t xml:space="preserve"> </w:t>
      </w:r>
      <w:r w:rsidRPr="00CA2795">
        <w:rPr>
          <w:rFonts w:ascii="Verdana" w:hAnsi="Verdana" w:cs="Arial"/>
          <w:b/>
        </w:rPr>
        <w:noBreakHyphen/>
      </w:r>
      <w:r w:rsidRPr="00CA2795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CA2795">
        <w:rPr>
          <w:rFonts w:ascii="Verdana" w:hAnsi="Verdana" w:cs="Arial"/>
          <w:b/>
        </w:rPr>
        <w:t>13- DAS DISPOSIÇÕES FINAIS</w:t>
      </w:r>
    </w:p>
    <w:p w:rsidR="00346EE3" w:rsidRPr="00CA2795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CA2795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CA2795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754C02" w:rsidRPr="00CA2795">
        <w:rPr>
          <w:rFonts w:ascii="Verdana" w:hAnsi="Verdana" w:cs="Arial"/>
          <w:sz w:val="22"/>
          <w:szCs w:val="22"/>
        </w:rPr>
        <w:t>044/2018</w:t>
      </w:r>
      <w:r w:rsidRPr="00CA2795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CA2795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CA2795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CA2795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CA2795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CA2795" w:rsidRDefault="00E83D4F">
      <w:pPr>
        <w:spacing w:after="0" w:line="240" w:lineRule="auto"/>
        <w:jc w:val="both"/>
        <w:rPr>
          <w:rFonts w:ascii="Verdana" w:hAnsi="Verdana" w:cs="Arial"/>
        </w:rPr>
      </w:pPr>
      <w:r w:rsidRPr="00CA2795">
        <w:rPr>
          <w:rFonts w:ascii="Verdana" w:hAnsi="Verdana" w:cs="Arial"/>
        </w:rPr>
        <w:t xml:space="preserve">Papagaios, </w:t>
      </w:r>
      <w:r w:rsidR="002303CA" w:rsidRPr="00CA2795">
        <w:rPr>
          <w:rFonts w:ascii="Verdana" w:hAnsi="Verdana" w:cs="Arial"/>
        </w:rPr>
        <w:t>08 de junho de 2018</w:t>
      </w:r>
      <w:r w:rsidRPr="00CA2795">
        <w:rPr>
          <w:rFonts w:ascii="Verdana" w:hAnsi="Verdana" w:cs="Arial"/>
        </w:rPr>
        <w:t>.</w:t>
      </w:r>
    </w:p>
    <w:p w:rsidR="00346EE3" w:rsidRPr="00CA2795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2F2A46" w:rsidRPr="00CA2795" w:rsidRDefault="002F2A46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Verdana"/>
          <w:sz w:val="22"/>
          <w:szCs w:val="22"/>
        </w:rPr>
        <w:t>Município de Papagaios/MG</w:t>
      </w:r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/>
          <w:sz w:val="22"/>
          <w:szCs w:val="22"/>
        </w:rPr>
      </w:pPr>
      <w:r w:rsidRPr="00CA2795">
        <w:rPr>
          <w:rFonts w:ascii="Verdana" w:hAnsi="Verdana" w:cs="Verdana"/>
          <w:sz w:val="22"/>
          <w:szCs w:val="22"/>
        </w:rPr>
        <w:t xml:space="preserve">Mário Reis </w:t>
      </w:r>
      <w:proofErr w:type="spellStart"/>
      <w:r w:rsidRPr="00CA2795">
        <w:rPr>
          <w:rFonts w:ascii="Verdana" w:hAnsi="Verdana" w:cs="Verdana"/>
          <w:sz w:val="22"/>
          <w:szCs w:val="22"/>
        </w:rPr>
        <w:t>Filgueiras</w:t>
      </w:r>
      <w:proofErr w:type="spellEnd"/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</w:p>
    <w:p w:rsidR="002F2A46" w:rsidRPr="00CA2795" w:rsidRDefault="002F2A46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  <w:proofErr w:type="spellStart"/>
      <w:r w:rsidRPr="00CA2795">
        <w:rPr>
          <w:rFonts w:ascii="Verdana" w:hAnsi="Verdana" w:cs="Verdana"/>
          <w:sz w:val="22"/>
          <w:szCs w:val="22"/>
        </w:rPr>
        <w:t>Xylem</w:t>
      </w:r>
      <w:proofErr w:type="spellEnd"/>
      <w:r w:rsidRPr="00CA2795">
        <w:rPr>
          <w:rFonts w:ascii="Verdana" w:hAnsi="Verdana" w:cs="Verdana"/>
          <w:sz w:val="22"/>
          <w:szCs w:val="22"/>
        </w:rPr>
        <w:t xml:space="preserve"> Brasil Soluções Para Água </w:t>
      </w:r>
      <w:proofErr w:type="spellStart"/>
      <w:r w:rsidRPr="00CA2795">
        <w:rPr>
          <w:rFonts w:ascii="Verdana" w:hAnsi="Verdana" w:cs="Verdana"/>
          <w:sz w:val="22"/>
          <w:szCs w:val="22"/>
        </w:rPr>
        <w:t>Ltda</w:t>
      </w:r>
      <w:proofErr w:type="spellEnd"/>
    </w:p>
    <w:p w:rsidR="002303CA" w:rsidRPr="00CA2795" w:rsidRDefault="002303CA" w:rsidP="002303CA">
      <w:pPr>
        <w:pStyle w:val="Corpodetexto"/>
        <w:spacing w:after="0"/>
        <w:jc w:val="center"/>
        <w:rPr>
          <w:rFonts w:ascii="Verdana" w:hAnsi="Verdana" w:cs="Verdana"/>
          <w:sz w:val="22"/>
          <w:szCs w:val="22"/>
        </w:rPr>
      </w:pPr>
      <w:r w:rsidRPr="00CA2795">
        <w:rPr>
          <w:rFonts w:ascii="Verdana" w:hAnsi="Verdana" w:cs="Verdana"/>
          <w:sz w:val="22"/>
          <w:szCs w:val="22"/>
        </w:rPr>
        <w:t xml:space="preserve">CNPJ/MF </w:t>
      </w:r>
      <w:r w:rsidR="00E44D71">
        <w:rPr>
          <w:rFonts w:ascii="Verdana" w:hAnsi="Verdana" w:cs="Verdana"/>
          <w:sz w:val="22"/>
          <w:szCs w:val="22"/>
        </w:rPr>
        <w:t>60.039.401/0001-87</w:t>
      </w:r>
      <w:bookmarkStart w:id="0" w:name="_GoBack"/>
      <w:bookmarkEnd w:id="0"/>
    </w:p>
    <w:sectPr w:rsidR="002303CA" w:rsidRPr="00CA279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B3" w:rsidRDefault="00CB31B3">
      <w:pPr>
        <w:spacing w:after="0" w:line="240" w:lineRule="auto"/>
      </w:pPr>
      <w:r>
        <w:separator/>
      </w:r>
    </w:p>
  </w:endnote>
  <w:endnote w:type="continuationSeparator" w:id="0">
    <w:p w:rsidR="00CB31B3" w:rsidRDefault="00CB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60" w:rsidRDefault="00443060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B3" w:rsidRDefault="00CB31B3">
      <w:pPr>
        <w:spacing w:after="0" w:line="240" w:lineRule="auto"/>
      </w:pPr>
      <w:r>
        <w:separator/>
      </w:r>
    </w:p>
  </w:footnote>
  <w:footnote w:type="continuationSeparator" w:id="0">
    <w:p w:rsidR="00CB31B3" w:rsidRDefault="00CB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3060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43060" w:rsidRDefault="0044306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443060" w:rsidRDefault="0044306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3060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43060" w:rsidRDefault="0044306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43060" w:rsidRDefault="0044306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443060" w:rsidRDefault="0044306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D3507"/>
    <w:multiLevelType w:val="hybridMultilevel"/>
    <w:tmpl w:val="4E42B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10A48"/>
    <w:multiLevelType w:val="hybridMultilevel"/>
    <w:tmpl w:val="87761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51AB1"/>
    <w:rsid w:val="00071E54"/>
    <w:rsid w:val="0008701C"/>
    <w:rsid w:val="000A4B24"/>
    <w:rsid w:val="001668A2"/>
    <w:rsid w:val="001772CB"/>
    <w:rsid w:val="001B5D1E"/>
    <w:rsid w:val="001F001F"/>
    <w:rsid w:val="00210FD8"/>
    <w:rsid w:val="00226106"/>
    <w:rsid w:val="002303CA"/>
    <w:rsid w:val="00247BEF"/>
    <w:rsid w:val="00273549"/>
    <w:rsid w:val="00273F19"/>
    <w:rsid w:val="002B687F"/>
    <w:rsid w:val="002C36F6"/>
    <w:rsid w:val="002F2A46"/>
    <w:rsid w:val="003102B1"/>
    <w:rsid w:val="003209D5"/>
    <w:rsid w:val="003457EA"/>
    <w:rsid w:val="00346EE3"/>
    <w:rsid w:val="003D1005"/>
    <w:rsid w:val="003F46E8"/>
    <w:rsid w:val="003F55D1"/>
    <w:rsid w:val="003F7166"/>
    <w:rsid w:val="00443060"/>
    <w:rsid w:val="00447F80"/>
    <w:rsid w:val="004526D9"/>
    <w:rsid w:val="0047203D"/>
    <w:rsid w:val="004C5BCB"/>
    <w:rsid w:val="004D4BFA"/>
    <w:rsid w:val="0050254C"/>
    <w:rsid w:val="0050380B"/>
    <w:rsid w:val="005401F2"/>
    <w:rsid w:val="005937A6"/>
    <w:rsid w:val="005A0CC7"/>
    <w:rsid w:val="005A3440"/>
    <w:rsid w:val="005E339C"/>
    <w:rsid w:val="00656227"/>
    <w:rsid w:val="0066409A"/>
    <w:rsid w:val="00665CA5"/>
    <w:rsid w:val="006674DA"/>
    <w:rsid w:val="006709C5"/>
    <w:rsid w:val="006733C4"/>
    <w:rsid w:val="00745EE8"/>
    <w:rsid w:val="00754C02"/>
    <w:rsid w:val="00765FCA"/>
    <w:rsid w:val="0077017E"/>
    <w:rsid w:val="007723EA"/>
    <w:rsid w:val="00775184"/>
    <w:rsid w:val="00777A1B"/>
    <w:rsid w:val="00790E98"/>
    <w:rsid w:val="00796EC9"/>
    <w:rsid w:val="007E7333"/>
    <w:rsid w:val="008020A0"/>
    <w:rsid w:val="00804E05"/>
    <w:rsid w:val="0083489F"/>
    <w:rsid w:val="00874C98"/>
    <w:rsid w:val="00890BAB"/>
    <w:rsid w:val="008A15DB"/>
    <w:rsid w:val="00932F04"/>
    <w:rsid w:val="00934867"/>
    <w:rsid w:val="009A3E72"/>
    <w:rsid w:val="009A7F3E"/>
    <w:rsid w:val="00A011B4"/>
    <w:rsid w:val="00A15133"/>
    <w:rsid w:val="00A177FE"/>
    <w:rsid w:val="00A22EEA"/>
    <w:rsid w:val="00A33EC6"/>
    <w:rsid w:val="00A34FDC"/>
    <w:rsid w:val="00A711E6"/>
    <w:rsid w:val="00AC4553"/>
    <w:rsid w:val="00B328B9"/>
    <w:rsid w:val="00B64D6A"/>
    <w:rsid w:val="00B804BE"/>
    <w:rsid w:val="00BA11BA"/>
    <w:rsid w:val="00BD188C"/>
    <w:rsid w:val="00BE1A58"/>
    <w:rsid w:val="00C37202"/>
    <w:rsid w:val="00CA2795"/>
    <w:rsid w:val="00CB1158"/>
    <w:rsid w:val="00CB31B3"/>
    <w:rsid w:val="00CD3EEF"/>
    <w:rsid w:val="00CE7F25"/>
    <w:rsid w:val="00D17C0D"/>
    <w:rsid w:val="00DC6EF8"/>
    <w:rsid w:val="00E44D71"/>
    <w:rsid w:val="00E64DB3"/>
    <w:rsid w:val="00E83D4F"/>
    <w:rsid w:val="00E9650E"/>
    <w:rsid w:val="00EF4DD3"/>
    <w:rsid w:val="00F04523"/>
    <w:rsid w:val="00F255A0"/>
    <w:rsid w:val="00F32758"/>
    <w:rsid w:val="00F735E6"/>
    <w:rsid w:val="00F858CD"/>
    <w:rsid w:val="00FC20C9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5401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3111</Words>
  <Characters>16805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11</cp:revision>
  <cp:lastPrinted>2018-03-14T13:07:00Z</cp:lastPrinted>
  <dcterms:created xsi:type="dcterms:W3CDTF">2018-07-30T18:11:00Z</dcterms:created>
  <dcterms:modified xsi:type="dcterms:W3CDTF">2018-08-03T12:30:00Z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