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E3" w:rsidRPr="00A602F8" w:rsidRDefault="00E83D4F">
      <w:pPr>
        <w:spacing w:after="0" w:line="240" w:lineRule="auto"/>
        <w:jc w:val="both"/>
        <w:rPr>
          <w:rFonts w:ascii="Verdana" w:hAnsi="Verdana"/>
          <w:b/>
          <w:sz w:val="21"/>
          <w:szCs w:val="21"/>
        </w:rPr>
      </w:pPr>
      <w:r w:rsidRPr="00A602F8">
        <w:rPr>
          <w:rFonts w:ascii="Verdana" w:hAnsi="Verdana"/>
          <w:b/>
          <w:sz w:val="21"/>
          <w:szCs w:val="21"/>
        </w:rPr>
        <w:t xml:space="preserve">PROCESSO LICITATÓRIO Nº </w:t>
      </w:r>
      <w:r w:rsidR="00D10826" w:rsidRPr="00A602F8">
        <w:rPr>
          <w:rFonts w:ascii="Verdana" w:hAnsi="Verdana"/>
          <w:b/>
          <w:sz w:val="21"/>
          <w:szCs w:val="21"/>
        </w:rPr>
        <w:t>070/2018</w:t>
      </w: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10826" w:rsidRPr="00A602F8">
        <w:rPr>
          <w:rFonts w:ascii="Verdana" w:hAnsi="Verdana" w:cs="Arial"/>
          <w:b/>
          <w:sz w:val="21"/>
          <w:szCs w:val="21"/>
        </w:rPr>
        <w:t>041/2018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A602F8" w:rsidRDefault="00346EE3">
      <w:pPr>
        <w:pStyle w:val="Ttulo1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ATA DE REGISTRO DE PREÇOS Nº </w:t>
      </w:r>
      <w:r w:rsidR="0091166C" w:rsidRPr="00A602F8">
        <w:rPr>
          <w:rFonts w:ascii="Verdana" w:hAnsi="Verdana" w:cs="Arial"/>
          <w:sz w:val="21"/>
          <w:szCs w:val="21"/>
        </w:rPr>
        <w:t>030</w:t>
      </w:r>
      <w:r w:rsidR="00CE7F25" w:rsidRPr="00A602F8">
        <w:rPr>
          <w:rFonts w:ascii="Verdana" w:hAnsi="Verdana" w:cs="Arial"/>
          <w:sz w:val="21"/>
          <w:szCs w:val="21"/>
        </w:rPr>
        <w:t>/2018</w:t>
      </w:r>
      <w:r w:rsidRPr="00A602F8">
        <w:rPr>
          <w:rFonts w:ascii="Verdana" w:hAnsi="Verdana" w:cs="Arial"/>
          <w:sz w:val="21"/>
          <w:szCs w:val="21"/>
        </w:rPr>
        <w:t>.</w:t>
      </w: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PREGÃO Nº </w:t>
      </w:r>
      <w:r w:rsidR="00D10826" w:rsidRPr="00A602F8">
        <w:rPr>
          <w:rFonts w:ascii="Verdana" w:hAnsi="Verdana" w:cs="Arial"/>
          <w:sz w:val="21"/>
          <w:szCs w:val="21"/>
        </w:rPr>
        <w:t>070/2018</w:t>
      </w:r>
      <w:r w:rsidRPr="00A602F8">
        <w:rPr>
          <w:rFonts w:ascii="Verdana" w:hAnsi="Verdana" w:cs="Arial"/>
          <w:sz w:val="21"/>
          <w:szCs w:val="21"/>
        </w:rPr>
        <w:t>.</w:t>
      </w: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PROCESSO Nº </w:t>
      </w:r>
      <w:r w:rsidR="00D10826" w:rsidRPr="00A602F8">
        <w:rPr>
          <w:rFonts w:ascii="Verdana" w:hAnsi="Verdana" w:cs="Arial"/>
          <w:sz w:val="21"/>
          <w:szCs w:val="21"/>
        </w:rPr>
        <w:t>041/2018</w:t>
      </w:r>
      <w:r w:rsidRPr="00A602F8">
        <w:rPr>
          <w:rFonts w:ascii="Verdana" w:hAnsi="Verdana" w:cs="Arial"/>
          <w:sz w:val="21"/>
          <w:szCs w:val="21"/>
        </w:rPr>
        <w:t>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VALIDADE: 12 meses.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Aos</w:t>
      </w:r>
      <w:r w:rsidR="00A110A2" w:rsidRPr="00A602F8">
        <w:rPr>
          <w:rFonts w:ascii="Verdana" w:hAnsi="Verdana" w:cs="Arial"/>
          <w:sz w:val="21"/>
          <w:szCs w:val="21"/>
        </w:rPr>
        <w:t xml:space="preserve"> 14 (quatorze)</w:t>
      </w:r>
      <w:r w:rsidRPr="00A602F8">
        <w:rPr>
          <w:rFonts w:ascii="Verdana" w:hAnsi="Verdana" w:cs="Arial"/>
          <w:sz w:val="21"/>
          <w:szCs w:val="21"/>
        </w:rPr>
        <w:t xml:space="preserve"> dias do mês de </w:t>
      </w:r>
      <w:r w:rsidR="00A110A2" w:rsidRPr="00A602F8">
        <w:rPr>
          <w:rFonts w:ascii="Verdana" w:hAnsi="Verdana" w:cs="Arial"/>
          <w:sz w:val="21"/>
          <w:szCs w:val="21"/>
        </w:rPr>
        <w:t>maio</w:t>
      </w:r>
      <w:r w:rsidRPr="00A602F8">
        <w:rPr>
          <w:rFonts w:ascii="Verdana" w:hAnsi="Verdana" w:cs="Arial"/>
          <w:sz w:val="21"/>
          <w:szCs w:val="21"/>
        </w:rPr>
        <w:t xml:space="preserve"> de </w:t>
      </w:r>
      <w:r w:rsidR="003209D5" w:rsidRPr="00A602F8">
        <w:rPr>
          <w:rFonts w:ascii="Verdana" w:hAnsi="Verdana" w:cs="Arial"/>
          <w:sz w:val="21"/>
          <w:szCs w:val="21"/>
        </w:rPr>
        <w:t>2018</w:t>
      </w:r>
      <w:r w:rsidRPr="00A602F8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A110A2" w:rsidRPr="00A602F8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A602F8">
        <w:rPr>
          <w:rFonts w:ascii="Verdana" w:hAnsi="Verdana" w:cs="Arial"/>
          <w:sz w:val="21"/>
          <w:szCs w:val="21"/>
        </w:rPr>
        <w:t xml:space="preserve">, nesta cidade, o Exmo. Sr. Prefeito Municipal, Sr. </w:t>
      </w:r>
      <w:r w:rsidR="008D2A7B" w:rsidRPr="00A602F8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8D2A7B" w:rsidRPr="00A602F8">
        <w:rPr>
          <w:rFonts w:ascii="Verdana" w:hAnsi="Verdana" w:cs="Arial"/>
          <w:sz w:val="21"/>
          <w:szCs w:val="21"/>
        </w:rPr>
        <w:t>Filgueiras</w:t>
      </w:r>
      <w:proofErr w:type="spellEnd"/>
      <w:r w:rsidRPr="00A602F8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10826" w:rsidRPr="00A602F8">
        <w:rPr>
          <w:rFonts w:ascii="Verdana" w:hAnsi="Verdana" w:cs="Arial"/>
          <w:sz w:val="21"/>
          <w:szCs w:val="21"/>
        </w:rPr>
        <w:t>041/2018</w:t>
      </w:r>
      <w:r w:rsidRPr="00A602F8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10826" w:rsidRPr="00A602F8">
        <w:rPr>
          <w:rFonts w:ascii="Verdana" w:hAnsi="Verdana" w:cs="Arial"/>
          <w:sz w:val="21"/>
          <w:szCs w:val="21"/>
        </w:rPr>
        <w:t>070/2018</w:t>
      </w:r>
      <w:r w:rsidRPr="00A602F8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1A0B06" w:rsidRPr="00A602F8">
        <w:rPr>
          <w:rFonts w:ascii="Verdana" w:hAnsi="Verdana" w:cs="Arial"/>
          <w:b/>
          <w:sz w:val="21"/>
          <w:szCs w:val="21"/>
        </w:rPr>
        <w:t>LS CAMARGOS MOVEIS E ELETRODOMESTICOS LTDA</w:t>
      </w:r>
      <w:r w:rsidRPr="00A602F8">
        <w:rPr>
          <w:rFonts w:ascii="Verdana" w:hAnsi="Verdana" w:cs="Arial"/>
          <w:sz w:val="21"/>
          <w:szCs w:val="21"/>
        </w:rPr>
        <w:t xml:space="preserve">, localizado na </w:t>
      </w:r>
      <w:r w:rsidR="001A0B06" w:rsidRPr="00A602F8">
        <w:rPr>
          <w:rFonts w:ascii="Verdana" w:hAnsi="Verdana" w:cs="Arial"/>
          <w:sz w:val="21"/>
          <w:szCs w:val="21"/>
        </w:rPr>
        <w:t>Rua Padre João Cruz, nº. 28, Centro, Papagaios/MG, CEP 35.669-000</w:t>
      </w:r>
      <w:r w:rsidRPr="00A602F8">
        <w:rPr>
          <w:rFonts w:ascii="Verdana" w:hAnsi="Verdana" w:cs="Arial"/>
          <w:sz w:val="21"/>
          <w:szCs w:val="21"/>
        </w:rPr>
        <w:t xml:space="preserve">, cujo CNPJ é </w:t>
      </w:r>
      <w:r w:rsidR="001A0B06" w:rsidRPr="00A602F8">
        <w:rPr>
          <w:rFonts w:ascii="Verdana" w:hAnsi="Verdana" w:cs="Arial"/>
          <w:sz w:val="21"/>
          <w:szCs w:val="21"/>
        </w:rPr>
        <w:t>18.516.263/0001-13</w:t>
      </w:r>
      <w:r w:rsidRPr="00A602F8">
        <w:rPr>
          <w:rFonts w:ascii="Verdana" w:hAnsi="Verdana" w:cs="Arial"/>
          <w:sz w:val="21"/>
          <w:szCs w:val="21"/>
        </w:rPr>
        <w:t xml:space="preserve">, neste ato representado por </w:t>
      </w:r>
      <w:r w:rsidR="001A0B06" w:rsidRPr="00A602F8">
        <w:rPr>
          <w:rFonts w:ascii="Verdana" w:hAnsi="Verdana" w:cs="Arial"/>
          <w:sz w:val="21"/>
          <w:szCs w:val="21"/>
        </w:rPr>
        <w:t xml:space="preserve">Sandra Dias </w:t>
      </w:r>
      <w:proofErr w:type="spellStart"/>
      <w:r w:rsidR="001A0B06" w:rsidRPr="00A602F8">
        <w:rPr>
          <w:rFonts w:ascii="Verdana" w:hAnsi="Verdana" w:cs="Arial"/>
          <w:sz w:val="21"/>
          <w:szCs w:val="21"/>
        </w:rPr>
        <w:t>Camargos</w:t>
      </w:r>
      <w:proofErr w:type="spellEnd"/>
      <w:r w:rsidR="001A0B06" w:rsidRPr="00A602F8">
        <w:rPr>
          <w:rFonts w:ascii="Verdana" w:hAnsi="Verdana" w:cs="Arial"/>
          <w:sz w:val="21"/>
          <w:szCs w:val="21"/>
        </w:rPr>
        <w:t>, inscrita no CPF/MF sob o nº. 002.883.606-56</w:t>
      </w:r>
      <w:r w:rsidRPr="00A602F8">
        <w:rPr>
          <w:rFonts w:ascii="Verdana" w:hAnsi="Verdana" w:cs="Arial"/>
          <w:sz w:val="21"/>
          <w:szCs w:val="21"/>
        </w:rPr>
        <w:t>, conforme quadro abaixo:</w:t>
      </w:r>
    </w:p>
    <w:p w:rsidR="00346EE3" w:rsidRPr="00A602F8" w:rsidRDefault="00346EE3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96"/>
        <w:gridCol w:w="1368"/>
        <w:gridCol w:w="955"/>
        <w:gridCol w:w="850"/>
        <w:gridCol w:w="1090"/>
        <w:gridCol w:w="979"/>
        <w:gridCol w:w="1045"/>
        <w:gridCol w:w="1044"/>
        <w:gridCol w:w="1045"/>
      </w:tblGrid>
      <w:tr w:rsidR="00E83D4F" w:rsidRPr="00A602F8" w:rsidTr="001A0B06"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A602F8">
              <w:rPr>
                <w:rFonts w:ascii="Verdana" w:hAnsi="Verdana" w:cs="Arial"/>
                <w:b/>
                <w:sz w:val="16"/>
                <w:szCs w:val="16"/>
              </w:rPr>
              <w:t>ITEM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602F8">
              <w:rPr>
                <w:rFonts w:ascii="Verdana" w:hAnsi="Verdana" w:cs="Arial"/>
                <w:b/>
                <w:sz w:val="16"/>
                <w:szCs w:val="16"/>
              </w:rPr>
              <w:t>DESCRIÇÃO DO ITEM</w:t>
            </w:r>
          </w:p>
        </w:tc>
        <w:tc>
          <w:tcPr>
            <w:tcW w:w="69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602F8">
              <w:rPr>
                <w:rFonts w:ascii="Verdana" w:hAnsi="Verdana" w:cs="Arial"/>
                <w:b/>
                <w:sz w:val="16"/>
                <w:szCs w:val="16"/>
              </w:rPr>
              <w:t>QUANTIDADE/ VALOR</w:t>
            </w:r>
          </w:p>
        </w:tc>
      </w:tr>
      <w:tr w:rsidR="00E83D4F" w:rsidRPr="00A602F8" w:rsidTr="001A0B06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346EE3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346EE3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Órgão gerenciador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Limite decorrente de adesões</w:t>
            </w:r>
          </w:p>
        </w:tc>
      </w:tr>
      <w:tr w:rsidR="00E83D4F" w:rsidRPr="00A602F8" w:rsidTr="001A0B06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346EE3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346EE3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602F8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A602F8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Unitário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602F8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A602F8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602F8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A602F8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</w:tr>
      <w:tr w:rsidR="00E83D4F" w:rsidRPr="00A602F8" w:rsidTr="001A0B06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A602F8" w:rsidRDefault="00A110A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MS Sans Serif"/>
                <w:sz w:val="16"/>
                <w:szCs w:val="16"/>
              </w:rPr>
              <w:t>BICICLETAS, ARO 26, COM CESTÃO, SEM MARCHA, COR VERMELHA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A110A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1A0B0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520,00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1A0B0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15.600,00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1A0B0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1A0B0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15.600,00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1A0B0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150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A602F8" w:rsidRDefault="001A0B0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A602F8">
              <w:rPr>
                <w:rFonts w:ascii="Verdana" w:hAnsi="Verdana" w:cs="Arial"/>
                <w:sz w:val="16"/>
                <w:szCs w:val="16"/>
              </w:rPr>
              <w:t>78.000,00</w:t>
            </w:r>
          </w:p>
        </w:tc>
      </w:tr>
    </w:tbl>
    <w:p w:rsidR="00346EE3" w:rsidRPr="00A602F8" w:rsidRDefault="00346EE3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01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A602F8" w:rsidRDefault="00E83D4F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A602F8">
        <w:rPr>
          <w:rFonts w:ascii="Verdana" w:hAnsi="Verdana"/>
          <w:sz w:val="21"/>
          <w:szCs w:val="21"/>
        </w:rPr>
        <w:t xml:space="preserve">I </w:t>
      </w:r>
      <w:r w:rsidRPr="00A602F8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46EE3" w:rsidRPr="00A602F8" w:rsidRDefault="00346EE3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02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46EE3" w:rsidRPr="00A602F8" w:rsidRDefault="00346EE3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III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tabs>
          <w:tab w:val="right" w:pos="7944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03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tabs>
          <w:tab w:val="right" w:pos="2401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04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10826" w:rsidRPr="00A602F8">
        <w:rPr>
          <w:rFonts w:ascii="Verdana" w:hAnsi="Verdana" w:cs="Arial"/>
          <w:sz w:val="21"/>
          <w:szCs w:val="21"/>
        </w:rPr>
        <w:t>041/2018</w:t>
      </w:r>
      <w:r w:rsidRPr="00A602F8">
        <w:rPr>
          <w:rFonts w:ascii="Verdana" w:hAnsi="Verdana" w:cs="Arial"/>
          <w:sz w:val="21"/>
          <w:szCs w:val="21"/>
        </w:rPr>
        <w:t>.</w:t>
      </w:r>
    </w:p>
    <w:p w:rsidR="00346EE3" w:rsidRPr="00A602F8" w:rsidRDefault="00346EE3">
      <w:pPr>
        <w:tabs>
          <w:tab w:val="right" w:pos="9122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tabs>
          <w:tab w:val="right" w:pos="9122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10826" w:rsidRPr="00A602F8">
        <w:rPr>
          <w:rFonts w:ascii="Verdana" w:hAnsi="Verdana" w:cs="Arial"/>
          <w:sz w:val="21"/>
          <w:szCs w:val="21"/>
        </w:rPr>
        <w:t>041/2018</w:t>
      </w:r>
      <w:r w:rsidRPr="00A602F8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46EE3" w:rsidRPr="00A602F8" w:rsidRDefault="00346EE3">
      <w:pPr>
        <w:tabs>
          <w:tab w:val="right" w:pos="9106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tabs>
          <w:tab w:val="right" w:pos="9106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III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10826" w:rsidRPr="00A602F8">
        <w:rPr>
          <w:rFonts w:ascii="Verdana" w:hAnsi="Verdana" w:cs="Arial"/>
          <w:sz w:val="21"/>
          <w:szCs w:val="21"/>
        </w:rPr>
        <w:t>041/2018</w:t>
      </w:r>
      <w:r w:rsidRPr="00A602F8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46EE3" w:rsidRPr="00A602F8" w:rsidRDefault="00346EE3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A602F8" w:rsidRDefault="00E83D4F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05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tabs>
          <w:tab w:val="right" w:pos="3229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06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602F8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A602F8">
        <w:rPr>
          <w:rFonts w:ascii="Verdana" w:hAnsi="Verdana" w:cs="Arial"/>
          <w:sz w:val="21"/>
          <w:szCs w:val="21"/>
        </w:rPr>
        <w:t>definitivo pela unidade requisitante</w:t>
      </w:r>
      <w:r w:rsidRPr="00A602F8">
        <w:rPr>
          <w:rFonts w:ascii="Verdana" w:hAnsi="Verdana" w:cs="Arial"/>
          <w:bCs/>
          <w:sz w:val="21"/>
          <w:szCs w:val="21"/>
        </w:rPr>
        <w:t xml:space="preserve"> do objeto, </w:t>
      </w:r>
      <w:r w:rsidRPr="00A602F8">
        <w:rPr>
          <w:rFonts w:ascii="Verdana" w:hAnsi="Verdana" w:cs="Arial"/>
          <w:sz w:val="21"/>
          <w:szCs w:val="21"/>
        </w:rPr>
        <w:t>mediante apresentação da Nota Fiscal.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bCs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</w:t>
      </w:r>
      <w:r w:rsidRPr="00A602F8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46EE3" w:rsidRPr="00A602F8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/>
          <w:sz w:val="21"/>
          <w:szCs w:val="21"/>
        </w:rPr>
        <w:t xml:space="preserve">I= (TX/100) </w:t>
      </w:r>
    </w:p>
    <w:p w:rsidR="00346EE3" w:rsidRPr="00A602F8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/>
          <w:sz w:val="21"/>
          <w:szCs w:val="21"/>
        </w:rPr>
        <w:t xml:space="preserve">EM = I x N x VP, onde: </w:t>
      </w:r>
    </w:p>
    <w:p w:rsidR="00346EE3" w:rsidRPr="00A602F8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46EE3" w:rsidRPr="00A602F8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46EE3" w:rsidRPr="00A602F8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/>
          <w:sz w:val="21"/>
          <w:szCs w:val="21"/>
        </w:rPr>
        <w:t xml:space="preserve">EM = Encargos moratórios; </w:t>
      </w:r>
    </w:p>
    <w:p w:rsidR="00346EE3" w:rsidRPr="00A602F8" w:rsidRDefault="00E83D4F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46EE3" w:rsidRPr="00A602F8" w:rsidRDefault="00E83D4F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VP = Valor da parcela em atraso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bCs/>
          <w:sz w:val="21"/>
          <w:szCs w:val="21"/>
        </w:rPr>
      </w:pPr>
    </w:p>
    <w:p w:rsidR="00346EE3" w:rsidRPr="00A602F8" w:rsidRDefault="00E83D4F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07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46EE3" w:rsidRPr="00A602F8" w:rsidRDefault="00346EE3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III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IV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V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VI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VII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tabs>
          <w:tab w:val="left" w:pos="92"/>
          <w:tab w:val="right" w:pos="4024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08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796EC9">
      <w:pPr>
        <w:tabs>
          <w:tab w:val="left" w:pos="1245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I –</w:t>
      </w:r>
      <w:r w:rsidR="00E83D4F" w:rsidRPr="00A602F8">
        <w:rPr>
          <w:rFonts w:ascii="Verdana" w:hAnsi="Verdana" w:cs="Arial"/>
          <w:sz w:val="21"/>
          <w:szCs w:val="21"/>
        </w:rPr>
        <w:t xml:space="preserve"> Recusando-se a vencedora a assinatura da ata sem motivo justificado, caracterizará o descumprimento total da obrigação assumida, sujeitando-se </w:t>
      </w:r>
      <w:proofErr w:type="spellStart"/>
      <w:r w:rsidR="00E83D4F" w:rsidRPr="00A602F8">
        <w:rPr>
          <w:rFonts w:ascii="Verdana" w:hAnsi="Verdana" w:cs="Arial"/>
          <w:sz w:val="21"/>
          <w:szCs w:val="21"/>
        </w:rPr>
        <w:t>á</w:t>
      </w:r>
      <w:proofErr w:type="spellEnd"/>
      <w:r w:rsidR="00E83D4F" w:rsidRPr="00A602F8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796EC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II –</w:t>
      </w:r>
      <w:r w:rsidR="00E83D4F" w:rsidRPr="00A602F8">
        <w:rPr>
          <w:rFonts w:ascii="Verdana" w:hAnsi="Verdana" w:cs="Arial"/>
          <w:sz w:val="21"/>
          <w:szCs w:val="21"/>
        </w:rPr>
        <w:t xml:space="preserve">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796EC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A</w:t>
      </w:r>
      <w:r w:rsidR="00E83D4F" w:rsidRPr="00A602F8">
        <w:rPr>
          <w:rFonts w:ascii="Verdana" w:hAnsi="Verdana" w:cs="Arial"/>
          <w:sz w:val="21"/>
          <w:szCs w:val="21"/>
        </w:rPr>
        <w:t>. Advertência;</w:t>
      </w:r>
    </w:p>
    <w:p w:rsidR="00346EE3" w:rsidRPr="00A602F8" w:rsidRDefault="00346EE3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346EE3" w:rsidRPr="00A602F8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B</w:t>
      </w:r>
      <w:r w:rsidR="00E83D4F" w:rsidRPr="00A602F8">
        <w:rPr>
          <w:rFonts w:ascii="Verdana" w:hAnsi="Verdana" w:cs="Arial"/>
          <w:sz w:val="21"/>
          <w:szCs w:val="21"/>
        </w:rPr>
        <w:t>. Multa de 0,3% (três décimos por cento) por dia, até o 10</w:t>
      </w:r>
      <w:r w:rsidR="00E83D4F" w:rsidRPr="00A602F8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="00E83D4F" w:rsidRPr="00A602F8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46EE3" w:rsidRPr="00A602F8" w:rsidRDefault="00346EE3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46EE3" w:rsidRPr="00A602F8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C</w:t>
      </w:r>
      <w:r w:rsidR="00E83D4F" w:rsidRPr="00A602F8">
        <w:rPr>
          <w:rFonts w:ascii="Verdana" w:hAnsi="Verdana" w:cs="Arial"/>
          <w:sz w:val="21"/>
          <w:szCs w:val="21"/>
        </w:rPr>
        <w:t>. Multa de 20% (vinte por cento) sobre o valor do saldo do valor do contrato, no caso de atraso superior a 10 (dez) dias, com a consequente rescisão contratual, quando for o caso;</w:t>
      </w:r>
    </w:p>
    <w:p w:rsidR="00346EE3" w:rsidRPr="00A602F8" w:rsidRDefault="00346EE3">
      <w:pPr>
        <w:pStyle w:val="Corpodetexto"/>
        <w:spacing w:after="0"/>
        <w:rPr>
          <w:rFonts w:ascii="Verdana" w:hAnsi="Verdana"/>
          <w:sz w:val="21"/>
          <w:szCs w:val="21"/>
        </w:rPr>
      </w:pPr>
    </w:p>
    <w:p w:rsidR="00346EE3" w:rsidRPr="00A602F8" w:rsidRDefault="00796EC9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D</w:t>
      </w:r>
      <w:r w:rsidR="00E83D4F" w:rsidRPr="00A602F8">
        <w:rPr>
          <w:rFonts w:ascii="Verdana" w:hAnsi="Verdana" w:cs="Arial"/>
          <w:sz w:val="21"/>
          <w:szCs w:val="21"/>
        </w:rPr>
        <w:t>. Multa de 20% (vinte por cento) sobre o valor do contrato, nos casos:</w:t>
      </w:r>
    </w:p>
    <w:p w:rsidR="00346EE3" w:rsidRPr="00A602F8" w:rsidRDefault="00346EE3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46EE3" w:rsidRPr="00A602F8" w:rsidRDefault="00346EE3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46EE3" w:rsidRPr="00A602F8" w:rsidRDefault="00346EE3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46EE3" w:rsidRPr="00A602F8" w:rsidRDefault="00346EE3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d) descumprimento de cláusula contratual.</w:t>
      </w:r>
    </w:p>
    <w:p w:rsidR="00346EE3" w:rsidRPr="00A602F8" w:rsidRDefault="00346EE3">
      <w:pPr>
        <w:tabs>
          <w:tab w:val="center" w:pos="2268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796EC9">
      <w:pPr>
        <w:tabs>
          <w:tab w:val="center" w:pos="2268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III –</w:t>
      </w:r>
      <w:r w:rsidR="00E83D4F" w:rsidRPr="00A602F8">
        <w:rPr>
          <w:rFonts w:ascii="Verdana" w:hAnsi="Verdana" w:cs="Arial"/>
          <w:sz w:val="21"/>
          <w:szCs w:val="21"/>
        </w:rPr>
        <w:t xml:space="preserve"> </w:t>
      </w:r>
      <w:r w:rsidR="00E83D4F" w:rsidRPr="00A602F8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2C36F6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IV – </w:t>
      </w:r>
      <w:r w:rsidR="00E83D4F" w:rsidRPr="00A602F8">
        <w:rPr>
          <w:rFonts w:ascii="Verdana" w:hAnsi="Verdana" w:cs="Arial"/>
          <w:sz w:val="21"/>
          <w:szCs w:val="21"/>
        </w:rPr>
        <w:t>Declaração de inidoneidade para licitar ou contratar com a Administração Pública, enquanto perdurarem os motivos determinantes da punição ou até que o contratante promova sua reabilitação.</w:t>
      </w:r>
    </w:p>
    <w:p w:rsidR="00346EE3" w:rsidRPr="00A602F8" w:rsidRDefault="00346EE3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46EE3" w:rsidRPr="00A602F8" w:rsidRDefault="002C36F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V -</w:t>
      </w:r>
      <w:r w:rsidR="00E83D4F" w:rsidRPr="00A602F8">
        <w:rPr>
          <w:rFonts w:ascii="Verdana" w:hAnsi="Verdana" w:cs="Arial"/>
          <w:sz w:val="21"/>
          <w:szCs w:val="21"/>
        </w:rPr>
        <w:t xml:space="preserve">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46EE3" w:rsidRPr="00A602F8" w:rsidRDefault="00346EE3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46EE3" w:rsidRPr="00A602F8" w:rsidRDefault="00E83D4F">
      <w:pPr>
        <w:tabs>
          <w:tab w:val="right" w:pos="6019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09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10826" w:rsidRPr="00A602F8">
        <w:rPr>
          <w:rFonts w:ascii="Verdana" w:hAnsi="Verdana" w:cs="Arial"/>
          <w:sz w:val="21"/>
          <w:szCs w:val="21"/>
        </w:rPr>
        <w:t>041/2018</w:t>
      </w:r>
      <w:r w:rsidRPr="00A602F8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10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46EE3" w:rsidRPr="00A602F8" w:rsidRDefault="00346EE3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11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I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46EE3" w:rsidRPr="00A602F8" w:rsidRDefault="00346EE3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A602F8" w:rsidRDefault="00E83D4F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>Pela Administração, quando:</w:t>
      </w:r>
    </w:p>
    <w:p w:rsidR="00346EE3" w:rsidRPr="00A602F8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A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602F8">
        <w:rPr>
          <w:rFonts w:ascii="Verdana" w:hAnsi="Verdana" w:cs="Arial"/>
          <w:sz w:val="21"/>
          <w:szCs w:val="21"/>
        </w:rPr>
        <w:t>a</w:t>
      </w:r>
      <w:proofErr w:type="spellEnd"/>
      <w:r w:rsidRPr="00A602F8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46EE3" w:rsidRPr="00A602F8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B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46EE3" w:rsidRPr="00A602F8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C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46EE3" w:rsidRPr="00A602F8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D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46EE3" w:rsidRPr="00A602F8" w:rsidRDefault="00346EE3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E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46EE3" w:rsidRPr="00A602F8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F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46EE3" w:rsidRPr="00A602F8" w:rsidRDefault="00346EE3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A602F8">
        <w:rPr>
          <w:rFonts w:ascii="Verdana" w:hAnsi="Verdana"/>
          <w:sz w:val="21"/>
          <w:szCs w:val="21"/>
        </w:rPr>
        <w:t xml:space="preserve">G </w:t>
      </w:r>
      <w:r w:rsidRPr="00A602F8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46EE3" w:rsidRPr="00A602F8" w:rsidRDefault="00346EE3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>Pelas detentoras, quando</w:t>
      </w:r>
      <w:r w:rsidRPr="00A602F8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46EE3" w:rsidRPr="00A602F8" w:rsidRDefault="00346EE3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tabs>
          <w:tab w:val="left" w:pos="717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A </w:t>
      </w:r>
      <w:r w:rsidRPr="00A602F8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602F8">
        <w:rPr>
          <w:rFonts w:ascii="Verdana" w:hAnsi="Verdana" w:cs="Arial"/>
          <w:sz w:val="21"/>
          <w:szCs w:val="21"/>
        </w:rPr>
        <w:t>a</w:t>
      </w:r>
      <w:proofErr w:type="spellEnd"/>
      <w:r w:rsidRPr="00A602F8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46EE3" w:rsidRPr="00A602F8" w:rsidRDefault="00346EE3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</w:p>
    <w:p w:rsidR="00346EE3" w:rsidRPr="00A602F8" w:rsidRDefault="00E83D4F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 xml:space="preserve">12 </w:t>
      </w:r>
      <w:r w:rsidRPr="00A602F8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I</w:t>
      </w:r>
      <w:r w:rsidRPr="00A602F8">
        <w:rPr>
          <w:rFonts w:ascii="Verdana" w:hAnsi="Verdana" w:cs="Arial"/>
          <w:b/>
          <w:sz w:val="21"/>
          <w:szCs w:val="21"/>
        </w:rPr>
        <w:t xml:space="preserve"> </w:t>
      </w:r>
      <w:r w:rsidRPr="00A602F8">
        <w:rPr>
          <w:rFonts w:ascii="Verdana" w:hAnsi="Verdana" w:cs="Arial"/>
          <w:b/>
          <w:sz w:val="21"/>
          <w:szCs w:val="21"/>
        </w:rPr>
        <w:noBreakHyphen/>
      </w:r>
      <w:r w:rsidRPr="00A602F8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b/>
          <w:sz w:val="21"/>
          <w:szCs w:val="21"/>
        </w:rPr>
      </w:pPr>
      <w:r w:rsidRPr="00A602F8">
        <w:rPr>
          <w:rFonts w:ascii="Verdana" w:hAnsi="Verdana" w:cs="Arial"/>
          <w:b/>
          <w:sz w:val="21"/>
          <w:szCs w:val="21"/>
        </w:rPr>
        <w:t>13- DAS DISPOSIÇÕES FINAIS</w:t>
      </w:r>
    </w:p>
    <w:p w:rsidR="00346EE3" w:rsidRPr="00A602F8" w:rsidRDefault="00346EE3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10826" w:rsidRPr="00A602F8">
        <w:rPr>
          <w:rFonts w:ascii="Verdana" w:hAnsi="Verdana" w:cs="Arial"/>
          <w:sz w:val="21"/>
          <w:szCs w:val="21"/>
        </w:rPr>
        <w:t>041/2018</w:t>
      </w:r>
      <w:r w:rsidRPr="00A602F8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46EE3" w:rsidRPr="00A602F8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tabs>
          <w:tab w:val="right" w:pos="9112"/>
        </w:tabs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46EE3" w:rsidRPr="00A602F8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346EE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Papagaios, </w:t>
      </w:r>
      <w:r w:rsidR="001A0B06" w:rsidRPr="00A602F8">
        <w:rPr>
          <w:rFonts w:ascii="Verdana" w:hAnsi="Verdana" w:cs="Arial"/>
          <w:sz w:val="21"/>
          <w:szCs w:val="21"/>
        </w:rPr>
        <w:t>14 de maio de 2018</w:t>
      </w:r>
      <w:r w:rsidRPr="00A602F8">
        <w:rPr>
          <w:rFonts w:ascii="Verdana" w:hAnsi="Verdana" w:cs="Arial"/>
          <w:sz w:val="21"/>
          <w:szCs w:val="21"/>
        </w:rPr>
        <w:t>.</w:t>
      </w:r>
    </w:p>
    <w:p w:rsidR="00346EE3" w:rsidRPr="00A602F8" w:rsidRDefault="00346EE3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346EE3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346EE3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346EE3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46EE3" w:rsidRPr="00A602F8" w:rsidRDefault="00E83D4F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46EE3" w:rsidRPr="00A602F8" w:rsidRDefault="00E83D4F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A602F8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46EE3" w:rsidRPr="00A602F8" w:rsidRDefault="00346EE3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46EE3" w:rsidRPr="00A602F8" w:rsidRDefault="00346EE3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46EE3" w:rsidRPr="00A602F8" w:rsidRDefault="00346EE3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46EE3" w:rsidRPr="00A602F8" w:rsidRDefault="001A0B0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602F8">
        <w:rPr>
          <w:rFonts w:ascii="Verdana" w:hAnsi="Verdana" w:cs="Arial"/>
          <w:sz w:val="21"/>
          <w:szCs w:val="21"/>
        </w:rPr>
        <w:t xml:space="preserve">LS </w:t>
      </w:r>
      <w:proofErr w:type="spellStart"/>
      <w:r w:rsidRPr="00A602F8">
        <w:rPr>
          <w:rFonts w:ascii="Verdana" w:hAnsi="Verdana" w:cs="Arial"/>
          <w:sz w:val="21"/>
          <w:szCs w:val="21"/>
        </w:rPr>
        <w:t>Camargos</w:t>
      </w:r>
      <w:proofErr w:type="spellEnd"/>
      <w:r w:rsidRPr="00A602F8">
        <w:rPr>
          <w:rFonts w:ascii="Verdana" w:hAnsi="Verdana" w:cs="Arial"/>
          <w:sz w:val="21"/>
          <w:szCs w:val="21"/>
        </w:rPr>
        <w:t xml:space="preserve"> Moveis e Eletrodomésticos </w:t>
      </w:r>
      <w:proofErr w:type="spellStart"/>
      <w:r w:rsidRPr="00A602F8">
        <w:rPr>
          <w:rFonts w:ascii="Verdana" w:hAnsi="Verdana" w:cs="Arial"/>
          <w:sz w:val="21"/>
          <w:szCs w:val="21"/>
        </w:rPr>
        <w:t>Ltda</w:t>
      </w:r>
      <w:proofErr w:type="spellEnd"/>
      <w:r w:rsidRPr="00A602F8">
        <w:rPr>
          <w:rFonts w:ascii="Verdana" w:hAnsi="Verdana" w:cs="Arial"/>
          <w:sz w:val="21"/>
          <w:szCs w:val="21"/>
        </w:rPr>
        <w:t xml:space="preserve"> ME</w:t>
      </w:r>
    </w:p>
    <w:p w:rsidR="001A0B06" w:rsidRPr="00A602F8" w:rsidRDefault="001A0B0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bookmarkStart w:id="0" w:name="_GoBack"/>
      <w:bookmarkEnd w:id="0"/>
      <w:r w:rsidRPr="00A602F8">
        <w:rPr>
          <w:rFonts w:ascii="Verdana" w:hAnsi="Verdana" w:cs="Arial"/>
          <w:sz w:val="21"/>
          <w:szCs w:val="21"/>
        </w:rPr>
        <w:t xml:space="preserve">CNPJ/MF </w:t>
      </w:r>
      <w:r w:rsidR="00A602F8" w:rsidRPr="00A602F8">
        <w:rPr>
          <w:rFonts w:ascii="Verdana" w:hAnsi="Verdana" w:cs="Arial"/>
          <w:sz w:val="21"/>
          <w:szCs w:val="21"/>
        </w:rPr>
        <w:t>18.516.263/0001-13</w:t>
      </w:r>
    </w:p>
    <w:sectPr w:rsidR="001A0B06" w:rsidRPr="00A602F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B9" w:rsidRDefault="00E83D4F">
      <w:pPr>
        <w:spacing w:after="0" w:line="240" w:lineRule="auto"/>
      </w:pPr>
      <w:r>
        <w:separator/>
      </w:r>
    </w:p>
  </w:endnote>
  <w:endnote w:type="continuationSeparator" w:id="0">
    <w:p w:rsidR="00B328B9" w:rsidRDefault="00E8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B9" w:rsidRDefault="00E83D4F">
      <w:pPr>
        <w:spacing w:after="0" w:line="240" w:lineRule="auto"/>
      </w:pPr>
      <w:r>
        <w:separator/>
      </w:r>
    </w:p>
  </w:footnote>
  <w:footnote w:type="continuationSeparator" w:id="0">
    <w:p w:rsidR="00B328B9" w:rsidRDefault="00E8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26AB8"/>
    <w:rsid w:val="00026B1B"/>
    <w:rsid w:val="00071E54"/>
    <w:rsid w:val="0008701C"/>
    <w:rsid w:val="000D51F4"/>
    <w:rsid w:val="0010144B"/>
    <w:rsid w:val="001A0B06"/>
    <w:rsid w:val="001B5D1E"/>
    <w:rsid w:val="00210FD8"/>
    <w:rsid w:val="00247BEF"/>
    <w:rsid w:val="002770C2"/>
    <w:rsid w:val="002C36F6"/>
    <w:rsid w:val="003102B1"/>
    <w:rsid w:val="003209D5"/>
    <w:rsid w:val="003457EA"/>
    <w:rsid w:val="00346EE3"/>
    <w:rsid w:val="003D1005"/>
    <w:rsid w:val="003E1940"/>
    <w:rsid w:val="003F46E8"/>
    <w:rsid w:val="003F55D1"/>
    <w:rsid w:val="004526D9"/>
    <w:rsid w:val="004539B5"/>
    <w:rsid w:val="00460ED7"/>
    <w:rsid w:val="005937A6"/>
    <w:rsid w:val="005A0CC7"/>
    <w:rsid w:val="005A3440"/>
    <w:rsid w:val="005F350A"/>
    <w:rsid w:val="0066409A"/>
    <w:rsid w:val="006709C5"/>
    <w:rsid w:val="006A06B2"/>
    <w:rsid w:val="006F2F8D"/>
    <w:rsid w:val="00765FCA"/>
    <w:rsid w:val="0077017E"/>
    <w:rsid w:val="00775080"/>
    <w:rsid w:val="00775184"/>
    <w:rsid w:val="00777A1B"/>
    <w:rsid w:val="00790E98"/>
    <w:rsid w:val="00796EC9"/>
    <w:rsid w:val="007E7333"/>
    <w:rsid w:val="008020A0"/>
    <w:rsid w:val="00804E05"/>
    <w:rsid w:val="00830A47"/>
    <w:rsid w:val="00890233"/>
    <w:rsid w:val="00896AE0"/>
    <w:rsid w:val="008D2A7B"/>
    <w:rsid w:val="0091166C"/>
    <w:rsid w:val="00934867"/>
    <w:rsid w:val="009C578D"/>
    <w:rsid w:val="00A110A2"/>
    <w:rsid w:val="00A15133"/>
    <w:rsid w:val="00A33EC6"/>
    <w:rsid w:val="00A602F8"/>
    <w:rsid w:val="00B328B9"/>
    <w:rsid w:val="00BA623F"/>
    <w:rsid w:val="00CE7F25"/>
    <w:rsid w:val="00D10826"/>
    <w:rsid w:val="00D17C0D"/>
    <w:rsid w:val="00E83D4F"/>
    <w:rsid w:val="00F04523"/>
    <w:rsid w:val="00F255A0"/>
    <w:rsid w:val="00F858CD"/>
    <w:rsid w:val="00FA7670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CF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spacing w:after="0" w:line="240" w:lineRule="auto"/>
      <w:ind w:left="1152" w:hanging="1152"/>
      <w:outlineLvl w:val="5"/>
    </w:pPr>
    <w:rPr>
      <w:rFonts w:ascii="Arial" w:eastAsia="Times New Roman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after="0" w:line="380" w:lineRule="atLeast"/>
      <w:ind w:left="1440" w:firstLine="46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Times New Roman" w:eastAsia="Times New Roman" w:hAnsi="Times New Roman" w:cs="Arial"/>
      <w:b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 w:line="240" w:lineRule="auto"/>
      <w:ind w:firstLine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 w:line="240" w:lineRule="auto"/>
      <w:jc w:val="center"/>
    </w:pPr>
    <w:rPr>
      <w:rFonts w:ascii="Tahoma" w:eastAsia="Times New Roman" w:hAnsi="Tahoma" w:cs="Tahoma"/>
      <w:b/>
      <w:bCs/>
      <w:iCs/>
      <w:sz w:val="24"/>
      <w:szCs w:val="20"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 w:line="240" w:lineRule="auto"/>
      <w:ind w:left="1843" w:firstLine="567"/>
    </w:pPr>
    <w:rPr>
      <w:rFonts w:ascii="Tahoma" w:eastAsia="Times New Roman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8564D"/>
    <w:pP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5</cp:revision>
  <cp:lastPrinted>2018-05-14T17:12:00Z</cp:lastPrinted>
  <dcterms:created xsi:type="dcterms:W3CDTF">2018-05-14T17:34:00Z</dcterms:created>
  <dcterms:modified xsi:type="dcterms:W3CDTF">2018-05-14T17:44:00Z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