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D07EE1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D07EE1">
        <w:rPr>
          <w:rFonts w:ascii="Verdana" w:hAnsi="Verdana" w:cs="Arial"/>
          <w:b/>
          <w:sz w:val="21"/>
          <w:szCs w:val="21"/>
        </w:rPr>
        <w:t xml:space="preserve">ATA DE REGISTRO DE PREÇOS Nº </w:t>
      </w:r>
      <w:r w:rsidR="005A52BE" w:rsidRPr="00D07EE1">
        <w:rPr>
          <w:rFonts w:ascii="Verdana" w:hAnsi="Verdana" w:cs="Arial"/>
          <w:b/>
          <w:sz w:val="21"/>
          <w:szCs w:val="21"/>
        </w:rPr>
        <w:t>023</w:t>
      </w:r>
      <w:r w:rsidR="00D75DD1" w:rsidRPr="00D07EE1">
        <w:rPr>
          <w:rFonts w:ascii="Verdana" w:hAnsi="Verdana" w:cs="Arial"/>
          <w:b/>
          <w:sz w:val="21"/>
          <w:szCs w:val="21"/>
        </w:rPr>
        <w:t>/2018</w:t>
      </w:r>
      <w:r w:rsidRPr="00D07EE1">
        <w:rPr>
          <w:rFonts w:ascii="Verdana" w:hAnsi="Verdana" w:cs="Arial"/>
          <w:b/>
          <w:sz w:val="21"/>
          <w:szCs w:val="21"/>
        </w:rPr>
        <w:t>.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PREGÃO Nº </w:t>
      </w:r>
      <w:r w:rsidR="00AA6666" w:rsidRPr="00D07EE1">
        <w:rPr>
          <w:rFonts w:ascii="Verdana" w:hAnsi="Verdana" w:cs="Arial"/>
          <w:sz w:val="21"/>
          <w:szCs w:val="21"/>
        </w:rPr>
        <w:t>053/2018</w:t>
      </w:r>
      <w:r w:rsidRPr="00D07EE1">
        <w:rPr>
          <w:rFonts w:ascii="Verdana" w:hAnsi="Verdana" w:cs="Arial"/>
          <w:sz w:val="21"/>
          <w:szCs w:val="21"/>
        </w:rPr>
        <w:t>.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PROCESSO Nº </w:t>
      </w:r>
      <w:r w:rsidR="00AA6666" w:rsidRPr="00D07EE1">
        <w:rPr>
          <w:rFonts w:ascii="Verdana" w:hAnsi="Verdana" w:cs="Arial"/>
          <w:sz w:val="21"/>
          <w:szCs w:val="21"/>
        </w:rPr>
        <w:t>029/2018</w:t>
      </w:r>
      <w:r w:rsidRPr="00D07EE1">
        <w:rPr>
          <w:rFonts w:ascii="Verdana" w:hAnsi="Verdana" w:cs="Arial"/>
          <w:sz w:val="21"/>
          <w:szCs w:val="21"/>
        </w:rPr>
        <w:t>.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VALIDADE: 12 meses.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Aos </w:t>
      </w:r>
      <w:r w:rsidR="004F16ED" w:rsidRPr="00D07EE1">
        <w:rPr>
          <w:rFonts w:ascii="Verdana" w:hAnsi="Verdana" w:cs="Arial"/>
          <w:sz w:val="21"/>
          <w:szCs w:val="21"/>
        </w:rPr>
        <w:t>11 (onze) dias do mês de abril de 2018</w:t>
      </w:r>
      <w:r w:rsidRPr="00D07EE1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D83C1B" w:rsidRPr="00D07EE1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D07EE1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5D294B" w:rsidRPr="00D07EE1">
        <w:rPr>
          <w:rFonts w:ascii="Verdana" w:hAnsi="Verdana" w:cs="Arial"/>
          <w:sz w:val="21"/>
          <w:szCs w:val="21"/>
        </w:rPr>
        <w:t>Mário Reis Filgueiras</w:t>
      </w:r>
      <w:r w:rsidRPr="00D07EE1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AA6666" w:rsidRPr="00D07EE1">
        <w:rPr>
          <w:rFonts w:ascii="Verdana" w:hAnsi="Verdana" w:cs="Arial"/>
          <w:sz w:val="21"/>
          <w:szCs w:val="21"/>
        </w:rPr>
        <w:t>029/2018</w:t>
      </w:r>
      <w:r w:rsidRPr="00D07EE1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AA6666" w:rsidRPr="00D07EE1">
        <w:rPr>
          <w:rFonts w:ascii="Verdana" w:hAnsi="Verdana" w:cs="Arial"/>
          <w:sz w:val="21"/>
          <w:szCs w:val="21"/>
        </w:rPr>
        <w:t>053/2018</w:t>
      </w:r>
      <w:r w:rsidRPr="00D07EE1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D07EE1" w:rsidRPr="00D07EE1">
        <w:rPr>
          <w:rFonts w:ascii="Verdana" w:hAnsi="Verdana" w:cs="Arial"/>
          <w:b/>
          <w:sz w:val="21"/>
          <w:szCs w:val="21"/>
        </w:rPr>
        <w:t>DISTRIBUIDORA JHF LTDA ME</w:t>
      </w:r>
      <w:r w:rsidRPr="00D07EE1">
        <w:rPr>
          <w:rFonts w:ascii="Verdana" w:hAnsi="Verdana" w:cs="Arial"/>
          <w:sz w:val="21"/>
          <w:szCs w:val="21"/>
        </w:rPr>
        <w:t xml:space="preserve">, localizado na </w:t>
      </w:r>
      <w:r w:rsidR="00D07EE1" w:rsidRPr="00D07EE1">
        <w:rPr>
          <w:rFonts w:ascii="Verdana" w:hAnsi="Verdana" w:cs="Arial"/>
          <w:sz w:val="21"/>
          <w:szCs w:val="21"/>
        </w:rPr>
        <w:t>Rua Jose Alves dos Anjos, nº. 90, Sala 01, bairro Alvorada, Ibirité/MG, CEP 32.400-000</w:t>
      </w:r>
      <w:r w:rsidRPr="00D07EE1">
        <w:rPr>
          <w:rFonts w:ascii="Verdana" w:hAnsi="Verdana" w:cs="Arial"/>
          <w:sz w:val="21"/>
          <w:szCs w:val="21"/>
        </w:rPr>
        <w:t xml:space="preserve">, cujo CNPJ é </w:t>
      </w:r>
      <w:r w:rsidR="00D07EE1" w:rsidRPr="00D07EE1">
        <w:rPr>
          <w:rFonts w:ascii="Verdana" w:hAnsi="Verdana" w:cs="Arial"/>
          <w:sz w:val="21"/>
          <w:szCs w:val="21"/>
        </w:rPr>
        <w:t>15.310.120/0001-62</w:t>
      </w:r>
      <w:r w:rsidRPr="00D07EE1">
        <w:rPr>
          <w:rFonts w:ascii="Verdana" w:hAnsi="Verdana" w:cs="Arial"/>
          <w:sz w:val="21"/>
          <w:szCs w:val="21"/>
        </w:rPr>
        <w:t xml:space="preserve">, neste ato representado por </w:t>
      </w:r>
      <w:r w:rsidR="00D07EE1" w:rsidRPr="00D07EE1">
        <w:rPr>
          <w:rFonts w:ascii="Verdana" w:hAnsi="Verdana" w:cs="Arial"/>
          <w:sz w:val="21"/>
          <w:szCs w:val="21"/>
        </w:rPr>
        <w:t>Vicente Guimarães de Menezes Junior, inscrito no CPF/MF sob o nº. 448.931.676-34</w:t>
      </w:r>
      <w:r w:rsidRPr="00D07EE1">
        <w:rPr>
          <w:rFonts w:ascii="Verdana" w:hAnsi="Verdana" w:cs="Arial"/>
          <w:sz w:val="21"/>
          <w:szCs w:val="21"/>
        </w:rPr>
        <w:t>, conforme quadro abaixo:</w:t>
      </w:r>
    </w:p>
    <w:p w:rsidR="003214FB" w:rsidRPr="00D07EE1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9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1537"/>
        <w:gridCol w:w="1048"/>
        <w:gridCol w:w="926"/>
        <w:gridCol w:w="1003"/>
        <w:gridCol w:w="1048"/>
        <w:gridCol w:w="1078"/>
        <w:gridCol w:w="1048"/>
        <w:gridCol w:w="1079"/>
      </w:tblGrid>
      <w:tr w:rsidR="003214FB" w:rsidRPr="004F16ED" w:rsidTr="00CD0DC2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5"/>
                <w:szCs w:val="15"/>
              </w:rPr>
            </w:pPr>
            <w:r w:rsidRPr="004F16ED">
              <w:rPr>
                <w:rFonts w:ascii="Verdana" w:hAnsi="Verdana" w:cs="Arial"/>
                <w:b/>
                <w:sz w:val="15"/>
                <w:szCs w:val="15"/>
              </w:rPr>
              <w:t>ITEM</w:t>
            </w:r>
          </w:p>
        </w:tc>
        <w:tc>
          <w:tcPr>
            <w:tcW w:w="15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4F16ED">
              <w:rPr>
                <w:rFonts w:ascii="Verdana" w:hAnsi="Verdana" w:cs="Arial"/>
                <w:b/>
                <w:sz w:val="15"/>
                <w:szCs w:val="15"/>
              </w:rPr>
              <w:t>DESCRIÇÃO DO ITEM</w:t>
            </w:r>
          </w:p>
        </w:tc>
        <w:tc>
          <w:tcPr>
            <w:tcW w:w="723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4F16ED">
              <w:rPr>
                <w:rFonts w:ascii="Verdana" w:hAnsi="Verdana" w:cs="Arial"/>
                <w:b/>
                <w:sz w:val="15"/>
                <w:szCs w:val="15"/>
              </w:rPr>
              <w:t>QUANTIDADE/ VALOR</w:t>
            </w:r>
          </w:p>
        </w:tc>
      </w:tr>
      <w:tr w:rsidR="003214FB" w:rsidRPr="004F16ED" w:rsidTr="00CD0DC2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Órgão gerenciador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Total a ser registrada e limite por adesão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Limite decorrente de adesões</w:t>
            </w:r>
          </w:p>
        </w:tc>
      </w:tr>
      <w:tr w:rsidR="003214FB" w:rsidRPr="004F16ED" w:rsidTr="00CD0DC2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Qtde. Estimada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Unitário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Qtde. Estimada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Qtde. Estimada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</w:tr>
      <w:tr w:rsidR="004F16ED" w:rsidRPr="004F16ED" w:rsidTr="00CD0DC2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6ED" w:rsidRPr="004F16ED" w:rsidRDefault="004F16ED" w:rsidP="004F16ED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16ED" w:rsidRPr="004F16ED" w:rsidRDefault="004F16ED" w:rsidP="004F16ED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b/>
                <w:sz w:val="15"/>
                <w:szCs w:val="15"/>
              </w:rPr>
              <w:t>Cadeira plástica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 monobloco empilhável torres. </w:t>
            </w:r>
          </w:p>
          <w:p w:rsidR="004F16ED" w:rsidRPr="004F16ED" w:rsidRDefault="004F16ED" w:rsidP="004F16ED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estrutura de 4 pés e sem braço.100% em </w:t>
            </w:r>
          </w:p>
          <w:p w:rsidR="004F16ED" w:rsidRPr="004F16ED" w:rsidRDefault="004F16ED" w:rsidP="004F16ED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polipropileno virgem com tratamento anti-uv. com o encosto reforçado. Com capacidade de 120 a 140 kg. Altura (890mm) comprimento (510mm) largura </w:t>
            </w:r>
          </w:p>
          <w:p w:rsidR="004F16ED" w:rsidRPr="004F16ED" w:rsidRDefault="004F16ED" w:rsidP="004F16ED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(430mm) estrutura inteira na cor branca, garantia de fábrica de 12 meses. Com certificação pelo inmetro. </w:t>
            </w:r>
          </w:p>
          <w:p w:rsidR="004F16ED" w:rsidRPr="004F16ED" w:rsidRDefault="004F16ED" w:rsidP="004F16ED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4F16ED" w:rsidP="004F16ED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400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CD0DC2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44,00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CD0DC2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17.600,00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CD0DC2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400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CD0DC2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17.600,00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CD0DC2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2.000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16ED" w:rsidRPr="004F16ED" w:rsidRDefault="00CD0DC2" w:rsidP="004F16ED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88.000,00</w:t>
            </w:r>
          </w:p>
        </w:tc>
      </w:tr>
    </w:tbl>
    <w:p w:rsidR="003214FB" w:rsidRPr="00D07EE1" w:rsidRDefault="003214FB" w:rsidP="003214FB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D07EE1">
        <w:rPr>
          <w:rFonts w:ascii="Verdana" w:hAnsi="Verdana" w:cs="Arial"/>
          <w:b/>
          <w:sz w:val="21"/>
          <w:szCs w:val="21"/>
        </w:rPr>
        <w:t xml:space="preserve">01 </w:t>
      </w:r>
      <w:r w:rsidRPr="00D07EE1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D07EE1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07EE1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D07EE1">
        <w:rPr>
          <w:rFonts w:ascii="Verdana" w:hAnsi="Verdana"/>
          <w:sz w:val="21"/>
          <w:szCs w:val="21"/>
        </w:rPr>
        <w:t xml:space="preserve">I </w:t>
      </w:r>
      <w:r w:rsidRPr="00D07EE1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D07EE1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D07EE1">
        <w:rPr>
          <w:rFonts w:ascii="Verdana" w:hAnsi="Verdana" w:cs="Arial"/>
          <w:b/>
          <w:sz w:val="21"/>
          <w:szCs w:val="21"/>
        </w:rPr>
        <w:t xml:space="preserve">02 </w:t>
      </w:r>
      <w:r w:rsidRPr="00D07EE1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D07EE1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III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D07EE1">
        <w:rPr>
          <w:rFonts w:ascii="Verdana" w:hAnsi="Verdana" w:cs="Arial"/>
          <w:b/>
          <w:sz w:val="21"/>
          <w:szCs w:val="21"/>
        </w:rPr>
        <w:t xml:space="preserve">03 </w:t>
      </w:r>
      <w:r w:rsidRPr="00D07EE1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D07EE1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D07EE1">
        <w:rPr>
          <w:rFonts w:ascii="Verdana" w:hAnsi="Verdana" w:cs="Arial"/>
          <w:b/>
          <w:sz w:val="21"/>
          <w:szCs w:val="21"/>
        </w:rPr>
        <w:t xml:space="preserve">04 </w:t>
      </w:r>
      <w:r w:rsidRPr="00D07EE1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A6666" w:rsidRPr="00D07EE1">
        <w:rPr>
          <w:rFonts w:ascii="Verdana" w:hAnsi="Verdana" w:cs="Arial"/>
          <w:sz w:val="21"/>
          <w:szCs w:val="21"/>
        </w:rPr>
        <w:t>029/2018</w:t>
      </w:r>
      <w:r w:rsidRPr="00D07EE1">
        <w:rPr>
          <w:rFonts w:ascii="Verdana" w:hAnsi="Verdana" w:cs="Arial"/>
          <w:sz w:val="21"/>
          <w:szCs w:val="21"/>
        </w:rPr>
        <w:t>.</w:t>
      </w:r>
    </w:p>
    <w:p w:rsidR="003214FB" w:rsidRPr="00D07EE1" w:rsidRDefault="003214FB" w:rsidP="003214FB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A6666" w:rsidRPr="00D07EE1">
        <w:rPr>
          <w:rFonts w:ascii="Verdana" w:hAnsi="Verdana" w:cs="Arial"/>
          <w:sz w:val="21"/>
          <w:szCs w:val="21"/>
        </w:rPr>
        <w:t>029/2018</w:t>
      </w:r>
      <w:r w:rsidRPr="00D07EE1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D07EE1" w:rsidRDefault="003214FB" w:rsidP="003214FB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III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AA6666" w:rsidRPr="00D07EE1">
        <w:rPr>
          <w:rFonts w:ascii="Verdana" w:hAnsi="Verdana" w:cs="Arial"/>
          <w:sz w:val="21"/>
          <w:szCs w:val="21"/>
        </w:rPr>
        <w:t>029/2018</w:t>
      </w:r>
      <w:r w:rsidRPr="00D07EE1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D07EE1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07EE1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D07EE1">
        <w:rPr>
          <w:rFonts w:ascii="Verdana" w:hAnsi="Verdana" w:cs="Arial"/>
          <w:b/>
          <w:sz w:val="21"/>
          <w:szCs w:val="21"/>
        </w:rPr>
        <w:t xml:space="preserve">05 </w:t>
      </w:r>
      <w:r w:rsidRPr="00D07EE1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D07EE1">
        <w:rPr>
          <w:rFonts w:ascii="Verdana" w:hAnsi="Verdana" w:cs="Arial"/>
          <w:b/>
          <w:sz w:val="21"/>
          <w:szCs w:val="21"/>
        </w:rPr>
        <w:t xml:space="preserve">06 </w:t>
      </w:r>
      <w:r w:rsidRPr="00D07EE1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D07EE1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D07EE1">
        <w:rPr>
          <w:rFonts w:ascii="Verdana" w:hAnsi="Verdana" w:cs="Arial"/>
          <w:sz w:val="21"/>
          <w:szCs w:val="21"/>
        </w:rPr>
        <w:t>definitivo pela unidade requisitante</w:t>
      </w:r>
      <w:r w:rsidRPr="00D07EE1">
        <w:rPr>
          <w:rFonts w:ascii="Verdana" w:hAnsi="Verdana" w:cs="Arial"/>
          <w:bCs/>
          <w:sz w:val="21"/>
          <w:szCs w:val="21"/>
        </w:rPr>
        <w:t xml:space="preserve"> do objeto, </w:t>
      </w:r>
      <w:r w:rsidRPr="00D07EE1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D07EE1" w:rsidRDefault="003214FB" w:rsidP="003214FB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</w:t>
      </w:r>
      <w:r w:rsidRPr="00D07EE1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07EE1">
        <w:rPr>
          <w:rFonts w:ascii="Verdana" w:hAnsi="Verdana"/>
          <w:sz w:val="21"/>
          <w:szCs w:val="21"/>
        </w:rPr>
        <w:t xml:space="preserve">I= (TX/100) 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07EE1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07EE1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07EE1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07EE1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07EE1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D07EE1" w:rsidRDefault="003214FB" w:rsidP="003214FB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D07EE1" w:rsidRDefault="003214FB" w:rsidP="003214FB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D07EE1" w:rsidRDefault="003214FB" w:rsidP="003214FB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D07EE1">
        <w:rPr>
          <w:rFonts w:ascii="Verdana" w:hAnsi="Verdana" w:cs="Arial"/>
          <w:b/>
          <w:sz w:val="21"/>
          <w:szCs w:val="21"/>
        </w:rPr>
        <w:t xml:space="preserve">07 </w:t>
      </w:r>
      <w:r w:rsidRPr="00D07EE1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D07EE1" w:rsidRDefault="003214FB" w:rsidP="003214FB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III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IV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V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VI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VII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D07EE1">
        <w:rPr>
          <w:rFonts w:ascii="Verdana" w:hAnsi="Verdana" w:cs="Arial"/>
          <w:b/>
          <w:sz w:val="21"/>
          <w:szCs w:val="21"/>
        </w:rPr>
        <w:t xml:space="preserve">08 </w:t>
      </w:r>
      <w:r w:rsidRPr="00D07EE1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A. Advertência;</w:t>
      </w:r>
    </w:p>
    <w:p w:rsidR="003214FB" w:rsidRPr="00D07EE1" w:rsidRDefault="003214FB" w:rsidP="003214FB">
      <w:pPr>
        <w:pStyle w:val="Recuodecorpodetexto34"/>
        <w:spacing w:after="0"/>
        <w:ind w:left="0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D07EE1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D07EE1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D07EE1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D07EE1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D07EE1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D07EE1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D07EE1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D07EE1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D07EE1" w:rsidRDefault="003214FB" w:rsidP="003214FB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III – </w:t>
      </w:r>
      <w:r w:rsidRPr="00D07EE1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D07EE1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D07EE1" w:rsidRDefault="003214FB" w:rsidP="003214FB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D07EE1" w:rsidRDefault="003214FB" w:rsidP="003214FB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D07EE1">
        <w:rPr>
          <w:rFonts w:ascii="Verdana" w:hAnsi="Verdana" w:cs="Arial"/>
          <w:b/>
          <w:sz w:val="21"/>
          <w:szCs w:val="21"/>
        </w:rPr>
        <w:t xml:space="preserve">09 </w:t>
      </w:r>
      <w:r w:rsidRPr="00D07EE1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A6666" w:rsidRPr="00D07EE1">
        <w:rPr>
          <w:rFonts w:ascii="Verdana" w:hAnsi="Verdana" w:cs="Arial"/>
          <w:sz w:val="21"/>
          <w:szCs w:val="21"/>
        </w:rPr>
        <w:t>029/2018</w:t>
      </w:r>
      <w:r w:rsidRPr="00D07EE1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D07EE1">
        <w:rPr>
          <w:rFonts w:ascii="Verdana" w:hAnsi="Verdana" w:cs="Arial"/>
          <w:b/>
          <w:sz w:val="21"/>
          <w:szCs w:val="21"/>
        </w:rPr>
        <w:t xml:space="preserve">10 </w:t>
      </w:r>
      <w:r w:rsidRPr="00D07EE1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D07EE1" w:rsidRDefault="003214FB" w:rsidP="003214FB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D07EE1">
        <w:rPr>
          <w:rFonts w:ascii="Verdana" w:hAnsi="Verdana" w:cs="Arial"/>
          <w:b/>
          <w:sz w:val="21"/>
          <w:szCs w:val="21"/>
        </w:rPr>
        <w:t xml:space="preserve">11 </w:t>
      </w:r>
      <w:r w:rsidRPr="00D07EE1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I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D07EE1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07EE1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D07EE1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D07EE1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A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a detentora não cumprir as obrigações constantes desta Ata de Registro de Preços;</w:t>
      </w:r>
    </w:p>
    <w:p w:rsidR="003214FB" w:rsidRPr="00D07EE1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B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D07EE1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C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D07EE1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D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D07EE1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E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D07EE1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F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D07EE1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D07EE1">
        <w:rPr>
          <w:rFonts w:ascii="Verdana" w:hAnsi="Verdana"/>
          <w:sz w:val="21"/>
          <w:szCs w:val="21"/>
        </w:rPr>
        <w:t xml:space="preserve">G </w:t>
      </w:r>
      <w:r w:rsidRPr="00D07EE1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D07EE1" w:rsidRDefault="003214FB" w:rsidP="003214FB">
      <w:pPr>
        <w:pStyle w:val="Recuodecorpodetexto23"/>
        <w:spacing w:after="0" w:line="240" w:lineRule="auto"/>
        <w:ind w:left="0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b/>
          <w:sz w:val="21"/>
          <w:szCs w:val="21"/>
        </w:rPr>
        <w:t>Pelas detentoras, quando</w:t>
      </w:r>
      <w:r w:rsidRPr="00D07EE1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D07EE1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A </w:t>
      </w:r>
      <w:r w:rsidRPr="00D07EE1">
        <w:rPr>
          <w:rFonts w:ascii="Verdana" w:hAnsi="Verdana" w:cs="Arial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D07EE1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D07EE1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D07EE1">
        <w:rPr>
          <w:rFonts w:ascii="Verdana" w:hAnsi="Verdana" w:cs="Arial"/>
          <w:b/>
          <w:sz w:val="21"/>
          <w:szCs w:val="21"/>
        </w:rPr>
        <w:t xml:space="preserve">12 </w:t>
      </w:r>
      <w:r w:rsidRPr="00D07EE1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D07EE1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I</w:t>
      </w:r>
      <w:r w:rsidRPr="00D07EE1">
        <w:rPr>
          <w:rFonts w:ascii="Verdana" w:hAnsi="Verdana" w:cs="Arial"/>
          <w:b/>
          <w:sz w:val="21"/>
          <w:szCs w:val="21"/>
        </w:rPr>
        <w:t xml:space="preserve"> </w:t>
      </w:r>
      <w:r w:rsidRPr="00D07EE1">
        <w:rPr>
          <w:rFonts w:ascii="Verdana" w:hAnsi="Verdana" w:cs="Arial"/>
          <w:b/>
          <w:sz w:val="21"/>
          <w:szCs w:val="21"/>
        </w:rPr>
        <w:noBreakHyphen/>
      </w:r>
      <w:r w:rsidRPr="00D07EE1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D07EE1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D07EE1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AA6666" w:rsidRPr="00D07EE1">
        <w:rPr>
          <w:rFonts w:ascii="Verdana" w:hAnsi="Verdana" w:cs="Arial"/>
          <w:sz w:val="21"/>
          <w:szCs w:val="21"/>
        </w:rPr>
        <w:t>029/2018</w:t>
      </w:r>
      <w:r w:rsidRPr="00D07EE1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D07EE1" w:rsidRDefault="003214FB" w:rsidP="003214F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D07EE1" w:rsidRDefault="003214FB" w:rsidP="003214F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Papagaios, </w:t>
      </w:r>
      <w:r w:rsidR="00256ECD" w:rsidRPr="00D07EE1">
        <w:rPr>
          <w:rFonts w:ascii="Verdana" w:hAnsi="Verdana" w:cs="Arial"/>
          <w:sz w:val="21"/>
          <w:szCs w:val="21"/>
        </w:rPr>
        <w:t>11 de abril de 2018</w:t>
      </w:r>
      <w:r w:rsidRPr="00D07EE1">
        <w:rPr>
          <w:rFonts w:ascii="Verdana" w:hAnsi="Verdana" w:cs="Arial"/>
          <w:sz w:val="21"/>
          <w:szCs w:val="21"/>
        </w:rPr>
        <w:t>.</w:t>
      </w:r>
    </w:p>
    <w:p w:rsidR="003214FB" w:rsidRPr="00D07EE1" w:rsidRDefault="003214FB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Default="003214FB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D07EE1" w:rsidRPr="00D07EE1" w:rsidRDefault="00D07EE1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D07EE1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3214FB" w:rsidRPr="00D07EE1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Mário Reis Filgueiras</w:t>
      </w:r>
    </w:p>
    <w:p w:rsidR="003214FB" w:rsidRPr="00D07EE1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D07EE1" w:rsidRPr="00D07EE1" w:rsidRDefault="00D07EE1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bookmarkStart w:id="0" w:name="_GoBack"/>
      <w:bookmarkEnd w:id="0"/>
    </w:p>
    <w:p w:rsidR="003214FB" w:rsidRPr="00D07EE1" w:rsidRDefault="006F08DF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Distribuidora JHF Ltda ME</w:t>
      </w:r>
    </w:p>
    <w:p w:rsidR="003214FB" w:rsidRPr="00D07EE1" w:rsidRDefault="00D07EE1" w:rsidP="00256ECD">
      <w:pPr>
        <w:pStyle w:val="Corpodetexto"/>
        <w:spacing w:after="0"/>
        <w:jc w:val="center"/>
        <w:rPr>
          <w:rFonts w:ascii="Verdana" w:hAnsi="Verdana"/>
          <w:sz w:val="21"/>
          <w:szCs w:val="21"/>
        </w:rPr>
      </w:pPr>
      <w:r w:rsidRPr="00D07EE1">
        <w:rPr>
          <w:rFonts w:ascii="Verdana" w:hAnsi="Verdana" w:cs="Arial"/>
          <w:sz w:val="21"/>
          <w:szCs w:val="21"/>
        </w:rPr>
        <w:t>CNPJ/MF 15.310.120/0001-62</w:t>
      </w:r>
    </w:p>
    <w:p w:rsidR="00E33182" w:rsidRPr="00D07EE1" w:rsidRDefault="00E33182" w:rsidP="003214FB">
      <w:pPr>
        <w:rPr>
          <w:rFonts w:ascii="Verdana" w:hAnsi="Verdana"/>
          <w:sz w:val="21"/>
          <w:szCs w:val="21"/>
        </w:rPr>
      </w:pPr>
    </w:p>
    <w:sectPr w:rsidR="00E33182" w:rsidRPr="00D07EE1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23" w:rsidRDefault="00744C23" w:rsidP="00E00126">
      <w:r>
        <w:separator/>
      </w:r>
    </w:p>
  </w:endnote>
  <w:endnote w:type="continuationSeparator" w:id="0">
    <w:p w:rsidR="00744C23" w:rsidRDefault="00744C2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23" w:rsidRPr="00320A16" w:rsidRDefault="00744C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23" w:rsidRDefault="00744C23" w:rsidP="00E00126">
      <w:r>
        <w:separator/>
      </w:r>
    </w:p>
  </w:footnote>
  <w:footnote w:type="continuationSeparator" w:id="0">
    <w:p w:rsidR="00744C23" w:rsidRDefault="00744C2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744C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744C23" w:rsidRDefault="00744C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744C23" w:rsidRPr="000015CB" w:rsidRDefault="00744C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744C23" w:rsidTr="000015CB">
      <w:trPr>
        <w:trHeight w:val="785"/>
      </w:trPr>
      <w:tc>
        <w:tcPr>
          <w:tcW w:w="2127" w:type="dxa"/>
          <w:vMerge/>
        </w:tcPr>
        <w:p w:rsidR="00744C23" w:rsidRDefault="00744C23">
          <w:pPr>
            <w:pStyle w:val="Cabealho"/>
          </w:pPr>
        </w:p>
      </w:tc>
      <w:tc>
        <w:tcPr>
          <w:tcW w:w="8930" w:type="dxa"/>
        </w:tcPr>
        <w:p w:rsidR="00744C23" w:rsidRPr="002936D7" w:rsidRDefault="00744C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744C23" w:rsidRDefault="00744C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4949"/>
    <w:rsid w:val="00025604"/>
    <w:rsid w:val="00045E72"/>
    <w:rsid w:val="00057E99"/>
    <w:rsid w:val="000810C5"/>
    <w:rsid w:val="000829A1"/>
    <w:rsid w:val="000974E5"/>
    <w:rsid w:val="000A7123"/>
    <w:rsid w:val="000F2E3E"/>
    <w:rsid w:val="001062A7"/>
    <w:rsid w:val="00195492"/>
    <w:rsid w:val="001C236C"/>
    <w:rsid w:val="001D244A"/>
    <w:rsid w:val="002431AA"/>
    <w:rsid w:val="00256ECD"/>
    <w:rsid w:val="00264466"/>
    <w:rsid w:val="0027735F"/>
    <w:rsid w:val="00277514"/>
    <w:rsid w:val="00287689"/>
    <w:rsid w:val="002936D7"/>
    <w:rsid w:val="002C7E36"/>
    <w:rsid w:val="002F68A3"/>
    <w:rsid w:val="00315A18"/>
    <w:rsid w:val="00320A16"/>
    <w:rsid w:val="003214FB"/>
    <w:rsid w:val="00374281"/>
    <w:rsid w:val="00386875"/>
    <w:rsid w:val="003951DD"/>
    <w:rsid w:val="003F02A6"/>
    <w:rsid w:val="003F5678"/>
    <w:rsid w:val="00407D55"/>
    <w:rsid w:val="00410E45"/>
    <w:rsid w:val="004136C4"/>
    <w:rsid w:val="00455796"/>
    <w:rsid w:val="0046368B"/>
    <w:rsid w:val="00485AF6"/>
    <w:rsid w:val="004F16ED"/>
    <w:rsid w:val="004F6027"/>
    <w:rsid w:val="00513AE8"/>
    <w:rsid w:val="005320BA"/>
    <w:rsid w:val="00580C35"/>
    <w:rsid w:val="005927A7"/>
    <w:rsid w:val="005A52BE"/>
    <w:rsid w:val="005D294B"/>
    <w:rsid w:val="005E0EBC"/>
    <w:rsid w:val="00647F9B"/>
    <w:rsid w:val="00650EF7"/>
    <w:rsid w:val="00685CF1"/>
    <w:rsid w:val="006A4CAB"/>
    <w:rsid w:val="006B3C89"/>
    <w:rsid w:val="006E4F98"/>
    <w:rsid w:val="006E7555"/>
    <w:rsid w:val="006F08DF"/>
    <w:rsid w:val="007020E9"/>
    <w:rsid w:val="00710506"/>
    <w:rsid w:val="00744C23"/>
    <w:rsid w:val="00790095"/>
    <w:rsid w:val="007B099B"/>
    <w:rsid w:val="007B2225"/>
    <w:rsid w:val="007E1E17"/>
    <w:rsid w:val="007F586D"/>
    <w:rsid w:val="007F6DEE"/>
    <w:rsid w:val="007F7B7B"/>
    <w:rsid w:val="008118A6"/>
    <w:rsid w:val="008257EF"/>
    <w:rsid w:val="00834053"/>
    <w:rsid w:val="00861C73"/>
    <w:rsid w:val="008835B4"/>
    <w:rsid w:val="00892F8B"/>
    <w:rsid w:val="008A51F1"/>
    <w:rsid w:val="008B5F41"/>
    <w:rsid w:val="008D0A2B"/>
    <w:rsid w:val="00962FDB"/>
    <w:rsid w:val="00971233"/>
    <w:rsid w:val="0097482B"/>
    <w:rsid w:val="009C7035"/>
    <w:rsid w:val="009C7BE7"/>
    <w:rsid w:val="009E6215"/>
    <w:rsid w:val="00A43F8E"/>
    <w:rsid w:val="00A50A15"/>
    <w:rsid w:val="00A71783"/>
    <w:rsid w:val="00AA6666"/>
    <w:rsid w:val="00AB4166"/>
    <w:rsid w:val="00B23595"/>
    <w:rsid w:val="00B45296"/>
    <w:rsid w:val="00B53D45"/>
    <w:rsid w:val="00B914AD"/>
    <w:rsid w:val="00BE777A"/>
    <w:rsid w:val="00C0181F"/>
    <w:rsid w:val="00C07112"/>
    <w:rsid w:val="00C828B3"/>
    <w:rsid w:val="00CB6A6D"/>
    <w:rsid w:val="00CD0DC2"/>
    <w:rsid w:val="00D07EE1"/>
    <w:rsid w:val="00D30012"/>
    <w:rsid w:val="00D559F6"/>
    <w:rsid w:val="00D63541"/>
    <w:rsid w:val="00D75DD1"/>
    <w:rsid w:val="00D83C1B"/>
    <w:rsid w:val="00E00126"/>
    <w:rsid w:val="00E2158B"/>
    <w:rsid w:val="00E33182"/>
    <w:rsid w:val="00E512AF"/>
    <w:rsid w:val="00E672E4"/>
    <w:rsid w:val="00E96837"/>
    <w:rsid w:val="00EC28D8"/>
    <w:rsid w:val="00FB3710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1935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2018-04-11T11:41:00Z</cp:lastPrinted>
  <dcterms:created xsi:type="dcterms:W3CDTF">2018-04-23T11:35:00Z</dcterms:created>
  <dcterms:modified xsi:type="dcterms:W3CDTF">2018-04-23T13:56:00Z</dcterms:modified>
</cp:coreProperties>
</file>