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7F2295" w:rsidRDefault="00E83D4F">
      <w:pPr>
        <w:spacing w:after="0" w:line="240" w:lineRule="auto"/>
        <w:jc w:val="both"/>
        <w:rPr>
          <w:rFonts w:ascii="Verdana" w:hAnsi="Verdana"/>
          <w:b/>
          <w:sz w:val="21"/>
          <w:szCs w:val="21"/>
        </w:rPr>
      </w:pPr>
      <w:r w:rsidRPr="007F2295">
        <w:rPr>
          <w:rFonts w:ascii="Verdana" w:hAnsi="Verdana"/>
          <w:b/>
          <w:sz w:val="21"/>
          <w:szCs w:val="21"/>
        </w:rPr>
        <w:t xml:space="preserve">PROCESSO LICITATÓRIO Nº </w:t>
      </w:r>
      <w:r w:rsidR="00F04523" w:rsidRPr="007F2295">
        <w:rPr>
          <w:rFonts w:ascii="Verdana" w:hAnsi="Verdana"/>
          <w:b/>
          <w:sz w:val="21"/>
          <w:szCs w:val="21"/>
        </w:rPr>
        <w:t>041/2018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04523" w:rsidRPr="007F2295">
        <w:rPr>
          <w:rFonts w:ascii="Verdana" w:hAnsi="Verdana" w:cs="Arial"/>
          <w:b/>
          <w:sz w:val="21"/>
          <w:szCs w:val="21"/>
        </w:rPr>
        <w:t>020/2018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346EE3">
      <w:pPr>
        <w:pStyle w:val="Ttulo1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ATA DE REGISTRO DE PREÇOS Nº </w:t>
      </w:r>
      <w:r w:rsidR="00CE7F25" w:rsidRPr="007F2295">
        <w:rPr>
          <w:rFonts w:ascii="Verdana" w:hAnsi="Verdana" w:cs="Arial"/>
          <w:sz w:val="21"/>
          <w:szCs w:val="21"/>
        </w:rPr>
        <w:t>015/2018</w:t>
      </w:r>
      <w:r w:rsidRPr="007F2295">
        <w:rPr>
          <w:rFonts w:ascii="Verdana" w:hAnsi="Verdana" w:cs="Arial"/>
          <w:sz w:val="21"/>
          <w:szCs w:val="21"/>
        </w:rPr>
        <w:t>.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PREGÃO Nº </w:t>
      </w:r>
      <w:r w:rsidR="00F04523" w:rsidRPr="007F2295">
        <w:rPr>
          <w:rFonts w:ascii="Verdana" w:hAnsi="Verdana" w:cs="Arial"/>
          <w:sz w:val="21"/>
          <w:szCs w:val="21"/>
        </w:rPr>
        <w:t>041/2018</w:t>
      </w:r>
      <w:r w:rsidRPr="007F2295">
        <w:rPr>
          <w:rFonts w:ascii="Verdana" w:hAnsi="Verdana" w:cs="Arial"/>
          <w:sz w:val="21"/>
          <w:szCs w:val="21"/>
        </w:rPr>
        <w:t>.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PROCESSO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Pr="007F2295">
        <w:rPr>
          <w:rFonts w:ascii="Verdana" w:hAnsi="Verdana" w:cs="Arial"/>
          <w:sz w:val="21"/>
          <w:szCs w:val="21"/>
        </w:rPr>
        <w:t>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VALIDADE: 12 meses.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28750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Aos 14 (quatorze) </w:t>
      </w:r>
      <w:r w:rsidR="00E83D4F" w:rsidRPr="007F2295">
        <w:rPr>
          <w:rFonts w:ascii="Verdana" w:hAnsi="Verdana" w:cs="Arial"/>
          <w:sz w:val="21"/>
          <w:szCs w:val="21"/>
        </w:rPr>
        <w:t xml:space="preserve">dias do mês de </w:t>
      </w:r>
      <w:r w:rsidRPr="007F2295">
        <w:rPr>
          <w:rFonts w:ascii="Verdana" w:hAnsi="Verdana" w:cs="Arial"/>
          <w:sz w:val="21"/>
          <w:szCs w:val="21"/>
        </w:rPr>
        <w:t>março</w:t>
      </w:r>
      <w:r w:rsidR="00E83D4F" w:rsidRPr="007F2295">
        <w:rPr>
          <w:rFonts w:ascii="Verdana" w:hAnsi="Verdana" w:cs="Arial"/>
          <w:sz w:val="21"/>
          <w:szCs w:val="21"/>
        </w:rPr>
        <w:t xml:space="preserve"> de </w:t>
      </w:r>
      <w:r w:rsidR="003209D5" w:rsidRPr="007F2295">
        <w:rPr>
          <w:rFonts w:ascii="Verdana" w:hAnsi="Verdana" w:cs="Arial"/>
          <w:sz w:val="21"/>
          <w:szCs w:val="21"/>
        </w:rPr>
        <w:t>2018</w:t>
      </w:r>
      <w:r w:rsidR="00E83D4F" w:rsidRPr="007F2295">
        <w:rPr>
          <w:rFonts w:ascii="Verdana" w:hAnsi="Verdana" w:cs="Arial"/>
          <w:sz w:val="21"/>
          <w:szCs w:val="21"/>
        </w:rPr>
        <w:t>, na sala de licitações, na sede da Prefe</w:t>
      </w:r>
      <w:r w:rsidRPr="007F2295">
        <w:rPr>
          <w:rFonts w:ascii="Verdana" w:hAnsi="Verdana" w:cs="Arial"/>
          <w:sz w:val="21"/>
          <w:szCs w:val="21"/>
        </w:rPr>
        <w:t>itura Municipal, situada na Avenida Francisco Valadares da Fonseca, nº. 250, bairro Vasco Lopes, Papagaios/MG, CEP 35.669-000</w:t>
      </w:r>
      <w:r w:rsidR="00E83D4F" w:rsidRPr="007F2295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21C11" w:rsidRPr="007F2295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E21C11" w:rsidRPr="007F2295">
        <w:rPr>
          <w:rFonts w:ascii="Verdana" w:hAnsi="Verdana" w:cs="Arial"/>
          <w:sz w:val="21"/>
          <w:szCs w:val="21"/>
        </w:rPr>
        <w:t>Filgueiras</w:t>
      </w:r>
      <w:proofErr w:type="spellEnd"/>
      <w:r w:rsidR="00E83D4F" w:rsidRPr="007F2295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="00E83D4F" w:rsidRPr="007F2295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04523" w:rsidRPr="007F2295">
        <w:rPr>
          <w:rFonts w:ascii="Verdana" w:hAnsi="Verdana" w:cs="Arial"/>
          <w:sz w:val="21"/>
          <w:szCs w:val="21"/>
        </w:rPr>
        <w:t>041/2018</w:t>
      </w:r>
      <w:r w:rsidR="00E83D4F" w:rsidRPr="007F2295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7F2295" w:rsidRPr="007F2295">
        <w:rPr>
          <w:rFonts w:ascii="Verdana" w:hAnsi="Verdana" w:cs="Arial"/>
          <w:b/>
          <w:sz w:val="21"/>
          <w:szCs w:val="21"/>
        </w:rPr>
        <w:t>PAMCORE COMERCIAL LTDA EPP</w:t>
      </w:r>
      <w:r w:rsidR="0031545F" w:rsidRPr="007F2295">
        <w:rPr>
          <w:rFonts w:ascii="Verdana" w:hAnsi="Verdana" w:cs="Arial"/>
          <w:sz w:val="21"/>
          <w:szCs w:val="21"/>
        </w:rPr>
        <w:t xml:space="preserve">, localizado na </w:t>
      </w:r>
      <w:r w:rsidR="007F2295" w:rsidRPr="007F2295">
        <w:rPr>
          <w:rFonts w:ascii="Verdana" w:hAnsi="Verdana" w:cs="Arial"/>
          <w:sz w:val="21"/>
          <w:szCs w:val="21"/>
        </w:rPr>
        <w:t xml:space="preserve">Rua Alice </w:t>
      </w:r>
      <w:proofErr w:type="spellStart"/>
      <w:r w:rsidR="007F2295" w:rsidRPr="007F2295">
        <w:rPr>
          <w:rFonts w:ascii="Verdana" w:hAnsi="Verdana" w:cs="Arial"/>
          <w:sz w:val="21"/>
          <w:szCs w:val="21"/>
        </w:rPr>
        <w:t>Teraiama</w:t>
      </w:r>
      <w:proofErr w:type="spellEnd"/>
      <w:r w:rsidR="007F2295" w:rsidRPr="007F2295">
        <w:rPr>
          <w:rFonts w:ascii="Verdana" w:hAnsi="Verdana" w:cs="Arial"/>
          <w:sz w:val="21"/>
          <w:szCs w:val="21"/>
        </w:rPr>
        <w:t>, nº. 63, bairro Pilar, Belo Horizonte/MG, CEP 30.390-090</w:t>
      </w:r>
      <w:r w:rsidR="00E83D4F" w:rsidRPr="007F2295">
        <w:rPr>
          <w:rFonts w:ascii="Verdana" w:hAnsi="Verdana" w:cs="Arial"/>
          <w:sz w:val="21"/>
          <w:szCs w:val="21"/>
        </w:rPr>
        <w:t xml:space="preserve">, cujo CNPJ é </w:t>
      </w:r>
      <w:r w:rsidR="007F2295" w:rsidRPr="007F2295">
        <w:rPr>
          <w:rFonts w:ascii="Verdana" w:hAnsi="Verdana" w:cs="Arial"/>
          <w:sz w:val="21"/>
          <w:szCs w:val="21"/>
        </w:rPr>
        <w:t>10.429.225/0001-11</w:t>
      </w:r>
      <w:r w:rsidR="00E83D4F" w:rsidRPr="007F2295">
        <w:rPr>
          <w:rFonts w:ascii="Verdana" w:hAnsi="Verdana" w:cs="Arial"/>
          <w:sz w:val="21"/>
          <w:szCs w:val="21"/>
        </w:rPr>
        <w:t xml:space="preserve">, neste ato representado por </w:t>
      </w:r>
      <w:r w:rsidR="007F2295" w:rsidRPr="007F2295">
        <w:rPr>
          <w:rFonts w:ascii="Verdana" w:hAnsi="Verdana" w:cs="Arial"/>
          <w:sz w:val="21"/>
          <w:szCs w:val="21"/>
        </w:rPr>
        <w:t xml:space="preserve">Flavia Reis Azevedo </w:t>
      </w:r>
      <w:proofErr w:type="spellStart"/>
      <w:r w:rsidR="007F2295" w:rsidRPr="007F2295">
        <w:rPr>
          <w:rFonts w:ascii="Verdana" w:hAnsi="Verdana" w:cs="Arial"/>
          <w:sz w:val="21"/>
          <w:szCs w:val="21"/>
        </w:rPr>
        <w:t>Rigolon</w:t>
      </w:r>
      <w:proofErr w:type="spellEnd"/>
      <w:r w:rsidR="0031545F" w:rsidRPr="007F2295">
        <w:rPr>
          <w:rFonts w:ascii="Verdana" w:hAnsi="Verdana" w:cs="Arial"/>
          <w:sz w:val="21"/>
          <w:szCs w:val="21"/>
        </w:rPr>
        <w:t xml:space="preserve">, inscrito no CPF/MF sob o nº. </w:t>
      </w:r>
      <w:r w:rsidR="007F2295" w:rsidRPr="007F2295">
        <w:rPr>
          <w:rFonts w:ascii="Verdana" w:hAnsi="Verdana" w:cs="Arial"/>
          <w:sz w:val="21"/>
          <w:szCs w:val="21"/>
        </w:rPr>
        <w:t>831.112.806-59</w:t>
      </w:r>
      <w:r w:rsidR="00E83D4F" w:rsidRPr="007F2295">
        <w:rPr>
          <w:rFonts w:ascii="Verdana" w:hAnsi="Verdana" w:cs="Arial"/>
          <w:sz w:val="21"/>
          <w:szCs w:val="21"/>
        </w:rPr>
        <w:t>, conforme quadro abaixo:</w:t>
      </w:r>
    </w:p>
    <w:p w:rsidR="00346EE3" w:rsidRPr="007F2295" w:rsidRDefault="00346EE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06"/>
        <w:gridCol w:w="862"/>
        <w:gridCol w:w="1197"/>
        <w:gridCol w:w="1079"/>
        <w:gridCol w:w="953"/>
        <w:gridCol w:w="1060"/>
        <w:gridCol w:w="953"/>
        <w:gridCol w:w="1069"/>
      </w:tblGrid>
      <w:tr w:rsidR="007A12F5" w:rsidRPr="007A12F5" w:rsidTr="007A12F5">
        <w:trPr>
          <w:trHeight w:val="18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7A12F5" w:rsidRPr="007A12F5" w:rsidTr="007A12F5">
        <w:trPr>
          <w:trHeight w:val="1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7A12F5" w:rsidRPr="007A12F5" w:rsidTr="007A12F5">
        <w:trPr>
          <w:trHeight w:val="1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7A12F5" w:rsidRPr="007A12F5" w:rsidTr="007A12F5">
        <w:trPr>
          <w:trHeight w:val="1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7A12F5" w:rsidRPr="007A12F5" w:rsidTr="007A12F5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Tê</w:t>
            </w:r>
            <w:proofErr w:type="spellEnd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de FF de 200</w:t>
            </w:r>
            <w:proofErr w:type="gram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mm  com</w:t>
            </w:r>
            <w:proofErr w:type="gramEnd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bolsa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441,3500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2.206,75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2.206,75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11.033,75</w:t>
            </w:r>
          </w:p>
        </w:tc>
      </w:tr>
      <w:tr w:rsidR="007A12F5" w:rsidRPr="007A12F5" w:rsidTr="007A12F5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Tê</w:t>
            </w:r>
            <w:proofErr w:type="spellEnd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de FF de 200</w:t>
            </w:r>
            <w:proofErr w:type="gram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mm  </w:t>
            </w:r>
            <w:proofErr w:type="spellStart"/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flangeado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609,3600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3.046,80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3.046,80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15.234,00</w:t>
            </w:r>
          </w:p>
        </w:tc>
      </w:tr>
      <w:tr w:rsidR="007A12F5" w:rsidRPr="007A12F5" w:rsidTr="007A12F5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Joelho de FF de 200mm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389,7000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3.117,60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3.117,60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15.588,00</w:t>
            </w:r>
          </w:p>
        </w:tc>
      </w:tr>
      <w:tr w:rsidR="007A12F5" w:rsidRPr="007A12F5" w:rsidTr="007A12F5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Tubo de FF de 200mm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281,4900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3.377,88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3.377,88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16.889,40</w:t>
            </w:r>
          </w:p>
        </w:tc>
      </w:tr>
      <w:tr w:rsidR="007A12F5" w:rsidRPr="007A12F5" w:rsidTr="007A12F5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Tubo de FF de 250mm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406,7700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2.440,62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2.440,62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F5" w:rsidRPr="007A12F5" w:rsidRDefault="007A12F5" w:rsidP="007A1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7A12F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12.203,10</w:t>
            </w:r>
          </w:p>
        </w:tc>
      </w:tr>
    </w:tbl>
    <w:p w:rsidR="00346EE3" w:rsidRPr="007F2295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01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E83D4F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I </w:t>
      </w:r>
      <w:r w:rsidRPr="007F2295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7F2295" w:rsidRDefault="00346EE3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02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46EE3" w:rsidRPr="007F2295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03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04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Pr="007F2295">
        <w:rPr>
          <w:rFonts w:ascii="Verdana" w:hAnsi="Verdana" w:cs="Arial"/>
          <w:sz w:val="21"/>
          <w:szCs w:val="21"/>
        </w:rPr>
        <w:t>.</w:t>
      </w:r>
    </w:p>
    <w:p w:rsidR="00346EE3" w:rsidRPr="007F2295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Pr="007F2295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46EE3" w:rsidRPr="007F2295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Pr="007F2295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46EE3" w:rsidRPr="007F2295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05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06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F2295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7F2295">
        <w:rPr>
          <w:rFonts w:ascii="Verdana" w:hAnsi="Verdana" w:cs="Arial"/>
          <w:sz w:val="21"/>
          <w:szCs w:val="21"/>
        </w:rPr>
        <w:t>definitivo pela unidade requisitante</w:t>
      </w:r>
      <w:r w:rsidRPr="007F2295">
        <w:rPr>
          <w:rFonts w:ascii="Verdana" w:hAnsi="Verdana" w:cs="Arial"/>
          <w:bCs/>
          <w:sz w:val="21"/>
          <w:szCs w:val="21"/>
        </w:rPr>
        <w:t xml:space="preserve"> do objeto, </w:t>
      </w:r>
      <w:r w:rsidRPr="007F2295">
        <w:rPr>
          <w:rFonts w:ascii="Verdana" w:hAnsi="Verdana" w:cs="Arial"/>
          <w:sz w:val="21"/>
          <w:szCs w:val="21"/>
        </w:rPr>
        <w:t>mediante apresentação da Nota Fiscal.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bCs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</w:t>
      </w:r>
      <w:r w:rsidRPr="007F2295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I= (TX/100) 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EM = I x N x VP, onde: 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lastRenderedPageBreak/>
        <w:t xml:space="preserve">TX = Percentual da taxa de juros de mora anual; 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EM = Encargos moratórios; 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46EE3" w:rsidRPr="007F2295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VP = Valor da parcela em atraso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bCs/>
          <w:sz w:val="21"/>
          <w:szCs w:val="21"/>
        </w:rPr>
      </w:pPr>
    </w:p>
    <w:p w:rsidR="00346EE3" w:rsidRPr="007F2295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07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46EE3" w:rsidRPr="007F2295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IV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V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VI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VII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08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I –</w:t>
      </w:r>
      <w:r w:rsidR="00E83D4F" w:rsidRPr="007F2295">
        <w:rPr>
          <w:rFonts w:ascii="Verdana" w:hAnsi="Verdana" w:cs="Arial"/>
          <w:sz w:val="21"/>
          <w:szCs w:val="21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7F2295">
        <w:rPr>
          <w:rFonts w:ascii="Verdana" w:hAnsi="Verdana" w:cs="Arial"/>
          <w:sz w:val="21"/>
          <w:szCs w:val="21"/>
        </w:rPr>
        <w:t>á</w:t>
      </w:r>
      <w:proofErr w:type="spellEnd"/>
      <w:r w:rsidR="00E83D4F" w:rsidRPr="007F2295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796EC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II –</w:t>
      </w:r>
      <w:r w:rsidR="00E83D4F" w:rsidRPr="007F2295">
        <w:rPr>
          <w:rFonts w:ascii="Verdana" w:hAnsi="Verdana" w:cs="Arial"/>
          <w:sz w:val="21"/>
          <w:szCs w:val="21"/>
        </w:rPr>
        <w:t xml:space="preserve"> Em caso de inexecução parcial ou total das condições fixadas no contrato, erros ou atrasos no cumprimento do contrato e quaisquer outras irregularidades, </w:t>
      </w:r>
      <w:r w:rsidR="00E83D4F" w:rsidRPr="007F2295">
        <w:rPr>
          <w:rFonts w:ascii="Verdana" w:hAnsi="Verdana" w:cs="Arial"/>
          <w:sz w:val="21"/>
          <w:szCs w:val="21"/>
        </w:rPr>
        <w:lastRenderedPageBreak/>
        <w:t>a Administração poderá, garantida a prévia defesa, aplicar ao contratado as seguintes sanções: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796EC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A</w:t>
      </w:r>
      <w:r w:rsidR="00E83D4F" w:rsidRPr="007F2295">
        <w:rPr>
          <w:rFonts w:ascii="Verdana" w:hAnsi="Verdana" w:cs="Arial"/>
          <w:sz w:val="21"/>
          <w:szCs w:val="21"/>
        </w:rPr>
        <w:t>. Advertência;</w:t>
      </w:r>
    </w:p>
    <w:p w:rsidR="00346EE3" w:rsidRPr="007F2295" w:rsidRDefault="00346EE3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46EE3" w:rsidRPr="007F2295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B</w:t>
      </w:r>
      <w:r w:rsidR="00E83D4F" w:rsidRPr="007F2295">
        <w:rPr>
          <w:rFonts w:ascii="Verdana" w:hAnsi="Verdana" w:cs="Arial"/>
          <w:sz w:val="21"/>
          <w:szCs w:val="21"/>
        </w:rPr>
        <w:t>. Multa de 0,3% (três décimos por cento) por dia, até o 10</w:t>
      </w:r>
      <w:r w:rsidR="00E83D4F" w:rsidRPr="007F2295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="00E83D4F" w:rsidRPr="007F2295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46EE3" w:rsidRPr="007F2295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46EE3" w:rsidRPr="007F2295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C</w:t>
      </w:r>
      <w:r w:rsidR="00E83D4F" w:rsidRPr="007F2295">
        <w:rPr>
          <w:rFonts w:ascii="Verdana" w:hAnsi="Verdana" w:cs="Arial"/>
          <w:sz w:val="21"/>
          <w:szCs w:val="21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7F2295" w:rsidRDefault="00346EE3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46EE3" w:rsidRPr="007F2295" w:rsidRDefault="00796EC9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D</w:t>
      </w:r>
      <w:r w:rsidR="00E83D4F" w:rsidRPr="007F2295">
        <w:rPr>
          <w:rFonts w:ascii="Verdana" w:hAnsi="Verdana" w:cs="Arial"/>
          <w:sz w:val="21"/>
          <w:szCs w:val="21"/>
        </w:rPr>
        <w:t>. Multa de 20% (vinte por cento) sobre o valor do contrato, nos casos:</w:t>
      </w:r>
    </w:p>
    <w:p w:rsidR="00346EE3" w:rsidRPr="007F2295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46EE3" w:rsidRPr="007F2295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46EE3" w:rsidRPr="007F2295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46EE3" w:rsidRPr="007F2295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d) descumprimento de cláusula contratual.</w:t>
      </w:r>
    </w:p>
    <w:p w:rsidR="00346EE3" w:rsidRPr="007F2295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III –</w:t>
      </w:r>
      <w:r w:rsidR="00E83D4F" w:rsidRPr="007F2295">
        <w:rPr>
          <w:rFonts w:ascii="Verdana" w:hAnsi="Verdana" w:cs="Arial"/>
          <w:sz w:val="21"/>
          <w:szCs w:val="21"/>
        </w:rPr>
        <w:t xml:space="preserve"> </w:t>
      </w:r>
      <w:r w:rsidR="00E83D4F" w:rsidRPr="007F2295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2C36F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IV – </w:t>
      </w:r>
      <w:r w:rsidR="00E83D4F" w:rsidRPr="007F2295">
        <w:rPr>
          <w:rFonts w:ascii="Verdana" w:hAnsi="Verdana" w:cs="Arial"/>
          <w:sz w:val="21"/>
          <w:szCs w:val="21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7F2295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2C36F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V -</w:t>
      </w:r>
      <w:r w:rsidR="00E83D4F" w:rsidRPr="007F2295">
        <w:rPr>
          <w:rFonts w:ascii="Verdana" w:hAnsi="Verdana" w:cs="Arial"/>
          <w:sz w:val="21"/>
          <w:szCs w:val="21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7F2295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46EE3" w:rsidRPr="007F2295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09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Pr="007F2295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10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46EE3" w:rsidRPr="007F2295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11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I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46EE3" w:rsidRPr="007F2295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>Pela Administração, quando:</w:t>
      </w:r>
    </w:p>
    <w:p w:rsidR="00346EE3" w:rsidRPr="007F22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A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7F2295">
        <w:rPr>
          <w:rFonts w:ascii="Verdana" w:hAnsi="Verdana" w:cs="Arial"/>
          <w:sz w:val="21"/>
          <w:szCs w:val="21"/>
        </w:rPr>
        <w:t>a</w:t>
      </w:r>
      <w:proofErr w:type="spellEnd"/>
      <w:r w:rsidRPr="007F2295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46EE3" w:rsidRPr="007F22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B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7F22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C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7F22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D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7F2295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E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46EE3" w:rsidRPr="007F22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F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46EE3" w:rsidRPr="007F2295" w:rsidRDefault="00346EE3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7F2295">
        <w:rPr>
          <w:rFonts w:ascii="Verdana" w:hAnsi="Verdana"/>
          <w:sz w:val="21"/>
          <w:szCs w:val="21"/>
        </w:rPr>
        <w:t xml:space="preserve">G </w:t>
      </w:r>
      <w:r w:rsidRPr="007F2295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7F2295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>Pelas detentoras, quando</w:t>
      </w:r>
      <w:r w:rsidRPr="007F2295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7F2295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A </w:t>
      </w:r>
      <w:r w:rsidRPr="007F2295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7F2295">
        <w:rPr>
          <w:rFonts w:ascii="Verdana" w:hAnsi="Verdana" w:cs="Arial"/>
          <w:sz w:val="21"/>
          <w:szCs w:val="21"/>
        </w:rPr>
        <w:t>a</w:t>
      </w:r>
      <w:proofErr w:type="spellEnd"/>
      <w:r w:rsidRPr="007F2295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7F2295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7F2295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 xml:space="preserve">12 </w:t>
      </w:r>
      <w:r w:rsidRPr="007F2295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I</w:t>
      </w:r>
      <w:r w:rsidRPr="007F2295">
        <w:rPr>
          <w:rFonts w:ascii="Verdana" w:hAnsi="Verdana" w:cs="Arial"/>
          <w:b/>
          <w:sz w:val="21"/>
          <w:szCs w:val="21"/>
        </w:rPr>
        <w:t xml:space="preserve"> </w:t>
      </w:r>
      <w:r w:rsidRPr="007F2295">
        <w:rPr>
          <w:rFonts w:ascii="Verdana" w:hAnsi="Verdana" w:cs="Arial"/>
          <w:b/>
          <w:sz w:val="21"/>
          <w:szCs w:val="21"/>
        </w:rPr>
        <w:noBreakHyphen/>
      </w:r>
      <w:r w:rsidRPr="007F2295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7F2295">
        <w:rPr>
          <w:rFonts w:ascii="Verdana" w:hAnsi="Verdana" w:cs="Arial"/>
          <w:b/>
          <w:sz w:val="21"/>
          <w:szCs w:val="21"/>
        </w:rPr>
        <w:t>13- DAS DISPOSIÇÕES FINAIS</w:t>
      </w:r>
    </w:p>
    <w:p w:rsidR="00346EE3" w:rsidRPr="007F2295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04523" w:rsidRPr="007F2295">
        <w:rPr>
          <w:rFonts w:ascii="Verdana" w:hAnsi="Verdana" w:cs="Arial"/>
          <w:sz w:val="21"/>
          <w:szCs w:val="21"/>
        </w:rPr>
        <w:t>020/2018</w:t>
      </w:r>
      <w:r w:rsidRPr="007F2295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46EE3" w:rsidRPr="007F2295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46EE3" w:rsidRPr="007F2295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Papagaios, </w:t>
      </w:r>
      <w:r w:rsidR="00C370B3" w:rsidRPr="007F2295">
        <w:rPr>
          <w:rFonts w:ascii="Verdana" w:hAnsi="Verdana" w:cs="Arial"/>
          <w:sz w:val="21"/>
          <w:szCs w:val="21"/>
        </w:rPr>
        <w:t>14 de março de 2018</w:t>
      </w:r>
      <w:r w:rsidRPr="007F2295">
        <w:rPr>
          <w:rFonts w:ascii="Verdana" w:hAnsi="Verdana" w:cs="Arial"/>
          <w:sz w:val="21"/>
          <w:szCs w:val="21"/>
        </w:rPr>
        <w:t>.</w:t>
      </w:r>
    </w:p>
    <w:p w:rsidR="00346EE3" w:rsidRPr="007F2295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7F2295" w:rsidRDefault="00E83D4F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46EE3" w:rsidRPr="007F2295" w:rsidRDefault="00E83D4F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7F2295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46EE3" w:rsidRPr="007F2295" w:rsidRDefault="00346EE3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46EE3" w:rsidRPr="007F2295" w:rsidRDefault="00346EE3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46EE3" w:rsidRPr="007F2295" w:rsidRDefault="007F229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 w:rsidRPr="007F2295">
        <w:rPr>
          <w:rFonts w:ascii="Verdana" w:hAnsi="Verdana" w:cs="Arial"/>
          <w:sz w:val="21"/>
          <w:szCs w:val="21"/>
        </w:rPr>
        <w:t>Pamcore</w:t>
      </w:r>
      <w:proofErr w:type="spellEnd"/>
      <w:r w:rsidRPr="007F2295">
        <w:rPr>
          <w:rFonts w:ascii="Verdana" w:hAnsi="Verdana" w:cs="Arial"/>
          <w:sz w:val="21"/>
          <w:szCs w:val="21"/>
        </w:rPr>
        <w:t xml:space="preserve"> Comercial </w:t>
      </w:r>
      <w:proofErr w:type="spellStart"/>
      <w:r w:rsidRPr="007F2295">
        <w:rPr>
          <w:rFonts w:ascii="Verdana" w:hAnsi="Verdana" w:cs="Arial"/>
          <w:sz w:val="21"/>
          <w:szCs w:val="21"/>
        </w:rPr>
        <w:t>Ltda</w:t>
      </w:r>
      <w:proofErr w:type="spellEnd"/>
    </w:p>
    <w:p w:rsidR="00287508" w:rsidRPr="007F2295" w:rsidRDefault="0028750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2295">
        <w:rPr>
          <w:rFonts w:ascii="Verdana" w:hAnsi="Verdana" w:cs="Arial"/>
          <w:sz w:val="21"/>
          <w:szCs w:val="21"/>
        </w:rPr>
        <w:t xml:space="preserve">CNPJ/MF </w:t>
      </w:r>
      <w:r w:rsidR="007F2295" w:rsidRPr="007F2295">
        <w:rPr>
          <w:rFonts w:ascii="Verdana" w:hAnsi="Verdana" w:cs="Arial"/>
          <w:sz w:val="21"/>
          <w:szCs w:val="21"/>
        </w:rPr>
        <w:t>10.429.255/0001-11</w:t>
      </w:r>
    </w:p>
    <w:sectPr w:rsidR="00287508" w:rsidRPr="007F229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9" w:rsidRDefault="00E83D4F">
      <w:pPr>
        <w:spacing w:after="0" w:line="240" w:lineRule="auto"/>
      </w:pPr>
      <w:r>
        <w:separator/>
      </w:r>
    </w:p>
  </w:endnote>
  <w:endnote w:type="continuationSeparator" w:id="0">
    <w:p w:rsidR="00B328B9" w:rsidRDefault="00E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9" w:rsidRDefault="00E83D4F">
      <w:pPr>
        <w:spacing w:after="0" w:line="240" w:lineRule="auto"/>
      </w:pPr>
      <w:r>
        <w:separator/>
      </w:r>
    </w:p>
  </w:footnote>
  <w:footnote w:type="continuationSeparator" w:id="0">
    <w:p w:rsidR="00B328B9" w:rsidRDefault="00E8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71E54"/>
    <w:rsid w:val="0008701C"/>
    <w:rsid w:val="001B5D1E"/>
    <w:rsid w:val="00210FD8"/>
    <w:rsid w:val="00247BEF"/>
    <w:rsid w:val="00287508"/>
    <w:rsid w:val="002C36F6"/>
    <w:rsid w:val="003102B1"/>
    <w:rsid w:val="0031545F"/>
    <w:rsid w:val="003209D5"/>
    <w:rsid w:val="003457EA"/>
    <w:rsid w:val="00346EE3"/>
    <w:rsid w:val="003D1005"/>
    <w:rsid w:val="003F46E8"/>
    <w:rsid w:val="003F55D1"/>
    <w:rsid w:val="004526D9"/>
    <w:rsid w:val="005937A6"/>
    <w:rsid w:val="005A0CC7"/>
    <w:rsid w:val="005A3440"/>
    <w:rsid w:val="0066409A"/>
    <w:rsid w:val="006709C5"/>
    <w:rsid w:val="00745EE8"/>
    <w:rsid w:val="00765FCA"/>
    <w:rsid w:val="0077017E"/>
    <w:rsid w:val="00775184"/>
    <w:rsid w:val="00777A1B"/>
    <w:rsid w:val="00790E98"/>
    <w:rsid w:val="00796EC9"/>
    <w:rsid w:val="007A12F5"/>
    <w:rsid w:val="007E7333"/>
    <w:rsid w:val="007F2295"/>
    <w:rsid w:val="008020A0"/>
    <w:rsid w:val="00804C39"/>
    <w:rsid w:val="00804E05"/>
    <w:rsid w:val="00934867"/>
    <w:rsid w:val="00A15133"/>
    <w:rsid w:val="00A33EC6"/>
    <w:rsid w:val="00B328B9"/>
    <w:rsid w:val="00C370B3"/>
    <w:rsid w:val="00CE7F25"/>
    <w:rsid w:val="00CF64BB"/>
    <w:rsid w:val="00D17C0D"/>
    <w:rsid w:val="00DD56B3"/>
    <w:rsid w:val="00E21C11"/>
    <w:rsid w:val="00E83D4F"/>
    <w:rsid w:val="00F04523"/>
    <w:rsid w:val="00F255A0"/>
    <w:rsid w:val="00F858CD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1939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</cp:revision>
  <cp:lastPrinted>2018-03-14T12:54:00Z</cp:lastPrinted>
  <dcterms:created xsi:type="dcterms:W3CDTF">2018-03-14T12:55:00Z</dcterms:created>
  <dcterms:modified xsi:type="dcterms:W3CDTF">2018-03-14T13:04:00Z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