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E3" w:rsidRPr="0031545F" w:rsidRDefault="00E83D4F">
      <w:pPr>
        <w:spacing w:after="0" w:line="240" w:lineRule="auto"/>
        <w:jc w:val="both"/>
        <w:rPr>
          <w:rFonts w:ascii="Verdana" w:hAnsi="Verdana"/>
          <w:b/>
        </w:rPr>
      </w:pPr>
      <w:r w:rsidRPr="0031545F">
        <w:rPr>
          <w:rFonts w:ascii="Verdana" w:hAnsi="Verdana"/>
          <w:b/>
        </w:rPr>
        <w:t xml:space="preserve">PROCESSO LICITATÓRIO Nº </w:t>
      </w:r>
      <w:r w:rsidR="00F04523" w:rsidRPr="0031545F">
        <w:rPr>
          <w:rFonts w:ascii="Verdana" w:hAnsi="Verdana"/>
          <w:b/>
        </w:rPr>
        <w:t>041/2018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PREGÃO PRESENCIAL Nº </w:t>
      </w:r>
      <w:r w:rsidR="00F04523" w:rsidRPr="0031545F">
        <w:rPr>
          <w:rFonts w:ascii="Verdana" w:hAnsi="Verdana" w:cs="Arial"/>
          <w:b/>
        </w:rPr>
        <w:t>020/2018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346EE3">
      <w:pPr>
        <w:pStyle w:val="Ttulo1"/>
        <w:jc w:val="both"/>
        <w:rPr>
          <w:rFonts w:ascii="Verdana" w:hAnsi="Verdana"/>
          <w:b/>
          <w:color w:val="auto"/>
          <w:sz w:val="22"/>
          <w:szCs w:val="22"/>
          <w:u w:val="single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ATA DE REGISTRO DE PREÇOS Nº </w:t>
      </w:r>
      <w:r w:rsidR="00CE7F25" w:rsidRPr="0031545F">
        <w:rPr>
          <w:rFonts w:ascii="Verdana" w:hAnsi="Verdana" w:cs="Arial"/>
        </w:rPr>
        <w:t>015/2018</w:t>
      </w:r>
      <w:r w:rsidRPr="0031545F">
        <w:rPr>
          <w:rFonts w:ascii="Verdana" w:hAnsi="Verdana" w:cs="Arial"/>
        </w:rPr>
        <w:t>.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PREGÃO Nº </w:t>
      </w:r>
      <w:r w:rsidR="00F04523" w:rsidRPr="0031545F">
        <w:rPr>
          <w:rFonts w:ascii="Verdana" w:hAnsi="Verdana" w:cs="Arial"/>
        </w:rPr>
        <w:t>041/2018</w:t>
      </w:r>
      <w:r w:rsidRPr="0031545F">
        <w:rPr>
          <w:rFonts w:ascii="Verdana" w:hAnsi="Verdana" w:cs="Arial"/>
        </w:rPr>
        <w:t>.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PROCESSO Nº </w:t>
      </w:r>
      <w:r w:rsidR="00F04523" w:rsidRPr="0031545F">
        <w:rPr>
          <w:rFonts w:ascii="Verdana" w:hAnsi="Verdana" w:cs="Arial"/>
        </w:rPr>
        <w:t>020/2018</w:t>
      </w:r>
      <w:r w:rsidRPr="0031545F">
        <w:rPr>
          <w:rFonts w:ascii="Verdana" w:hAnsi="Verdana" w:cs="Arial"/>
        </w:rPr>
        <w:t>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>VALIDADE: 12 meses.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28750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 xml:space="preserve">Aos 14 (quatorze) </w:t>
      </w:r>
      <w:r w:rsidR="00E83D4F" w:rsidRPr="0031545F">
        <w:rPr>
          <w:rFonts w:ascii="Verdana" w:hAnsi="Verdana" w:cs="Arial"/>
          <w:sz w:val="22"/>
          <w:szCs w:val="22"/>
        </w:rPr>
        <w:t xml:space="preserve">dias do mês de </w:t>
      </w:r>
      <w:r w:rsidRPr="0031545F">
        <w:rPr>
          <w:rFonts w:ascii="Verdana" w:hAnsi="Verdana" w:cs="Arial"/>
          <w:sz w:val="22"/>
          <w:szCs w:val="22"/>
        </w:rPr>
        <w:t>março</w:t>
      </w:r>
      <w:r w:rsidR="00E83D4F" w:rsidRPr="0031545F">
        <w:rPr>
          <w:rFonts w:ascii="Verdana" w:hAnsi="Verdana" w:cs="Arial"/>
          <w:sz w:val="22"/>
          <w:szCs w:val="22"/>
        </w:rPr>
        <w:t xml:space="preserve"> de </w:t>
      </w:r>
      <w:r w:rsidR="003209D5" w:rsidRPr="0031545F">
        <w:rPr>
          <w:rFonts w:ascii="Verdana" w:hAnsi="Verdana" w:cs="Arial"/>
          <w:sz w:val="22"/>
          <w:szCs w:val="22"/>
        </w:rPr>
        <w:t>2018</w:t>
      </w:r>
      <w:r w:rsidR="00E83D4F" w:rsidRPr="0031545F">
        <w:rPr>
          <w:rFonts w:ascii="Verdana" w:hAnsi="Verdana" w:cs="Arial"/>
          <w:sz w:val="22"/>
          <w:szCs w:val="22"/>
        </w:rPr>
        <w:t>, na sala de licitações, na sede da Prefe</w:t>
      </w:r>
      <w:r w:rsidRPr="0031545F">
        <w:rPr>
          <w:rFonts w:ascii="Verdana" w:hAnsi="Verdana" w:cs="Arial"/>
          <w:sz w:val="22"/>
          <w:szCs w:val="22"/>
        </w:rPr>
        <w:t>itura Municipal, situada na Avenida Francisco Valadares da Fonseca, nº. 250, bairro Vasco Lopes, Papagaios/MG, CEP 35.669-000</w:t>
      </w:r>
      <w:r w:rsidR="00E83D4F" w:rsidRPr="0031545F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E21C11" w:rsidRPr="0031545F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E21C11" w:rsidRPr="0031545F">
        <w:rPr>
          <w:rFonts w:ascii="Verdana" w:hAnsi="Verdana" w:cs="Arial"/>
          <w:sz w:val="22"/>
          <w:szCs w:val="22"/>
        </w:rPr>
        <w:t>Filgueiras</w:t>
      </w:r>
      <w:proofErr w:type="spellEnd"/>
      <w:r w:rsidR="00E83D4F" w:rsidRPr="0031545F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04523" w:rsidRPr="0031545F">
        <w:rPr>
          <w:rFonts w:ascii="Verdana" w:hAnsi="Verdana" w:cs="Arial"/>
          <w:sz w:val="22"/>
          <w:szCs w:val="22"/>
        </w:rPr>
        <w:t>020/2018</w:t>
      </w:r>
      <w:r w:rsidR="00E83D4F" w:rsidRPr="0031545F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F04523" w:rsidRPr="0031545F">
        <w:rPr>
          <w:rFonts w:ascii="Verdana" w:hAnsi="Verdana" w:cs="Arial"/>
          <w:sz w:val="22"/>
          <w:szCs w:val="22"/>
        </w:rPr>
        <w:t>041/2018</w:t>
      </w:r>
      <w:r w:rsidR="00E83D4F" w:rsidRPr="0031545F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31545F" w:rsidRPr="0031545F">
        <w:rPr>
          <w:rFonts w:ascii="Verdana" w:hAnsi="Verdana" w:cs="Arial"/>
          <w:b/>
          <w:sz w:val="22"/>
          <w:szCs w:val="22"/>
        </w:rPr>
        <w:t>HIDROSANBH SOLUÇÕES EM SANEAMENTO E MEDIÇÃO DE ÁGUA EIRELI EPP</w:t>
      </w:r>
      <w:r w:rsidR="0031545F" w:rsidRPr="0031545F">
        <w:rPr>
          <w:rFonts w:ascii="Verdana" w:hAnsi="Verdana" w:cs="Arial"/>
          <w:sz w:val="22"/>
          <w:szCs w:val="22"/>
        </w:rPr>
        <w:t>, localizado na Avenida Clara Nunes, nº. 597, Loja 01, bairro Renascença, Belo Horizonte/MG, CEP 31.130-680</w:t>
      </w:r>
      <w:r w:rsidR="00E83D4F" w:rsidRPr="0031545F">
        <w:rPr>
          <w:rFonts w:ascii="Verdana" w:hAnsi="Verdana" w:cs="Arial"/>
          <w:sz w:val="22"/>
          <w:szCs w:val="22"/>
        </w:rPr>
        <w:t xml:space="preserve">, cujo CNPJ é </w:t>
      </w:r>
      <w:r w:rsidR="0031545F" w:rsidRPr="0031545F">
        <w:rPr>
          <w:rFonts w:ascii="Verdana" w:hAnsi="Verdana" w:cs="Arial"/>
          <w:sz w:val="22"/>
          <w:szCs w:val="22"/>
        </w:rPr>
        <w:t>02.332.638/0001-55</w:t>
      </w:r>
      <w:r w:rsidR="00E83D4F" w:rsidRPr="0031545F">
        <w:rPr>
          <w:rFonts w:ascii="Verdana" w:hAnsi="Verdana" w:cs="Arial"/>
          <w:sz w:val="22"/>
          <w:szCs w:val="22"/>
        </w:rPr>
        <w:t xml:space="preserve">, neste ato representado por </w:t>
      </w:r>
      <w:r w:rsidR="0031545F" w:rsidRPr="0031545F">
        <w:rPr>
          <w:rFonts w:ascii="Verdana" w:hAnsi="Verdana" w:cs="Arial"/>
          <w:sz w:val="22"/>
          <w:szCs w:val="22"/>
        </w:rPr>
        <w:t>Alexandre Magno Leal, inscrito no CPF/MF sob o nº. 935.745.416-00</w:t>
      </w:r>
      <w:r w:rsidR="00E83D4F" w:rsidRPr="0031545F">
        <w:rPr>
          <w:rFonts w:ascii="Verdana" w:hAnsi="Verdana" w:cs="Arial"/>
          <w:sz w:val="22"/>
          <w:szCs w:val="22"/>
        </w:rPr>
        <w:t>, conforme quadro abaixo:</w:t>
      </w:r>
    </w:p>
    <w:p w:rsidR="00346EE3" w:rsidRPr="0031545F" w:rsidRDefault="00346EE3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675"/>
        <w:gridCol w:w="855"/>
        <w:gridCol w:w="1265"/>
        <w:gridCol w:w="1074"/>
        <w:gridCol w:w="942"/>
        <w:gridCol w:w="1057"/>
        <w:gridCol w:w="942"/>
        <w:gridCol w:w="1068"/>
      </w:tblGrid>
      <w:tr w:rsidR="00804C39" w:rsidRPr="00804C39" w:rsidTr="00804C39">
        <w:trPr>
          <w:trHeight w:val="180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7213" w:type="dxa"/>
            <w:gridSpan w:val="7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804C39" w:rsidRPr="00804C39" w:rsidTr="00804C39">
        <w:trPr>
          <w:trHeight w:val="180"/>
        </w:trPr>
        <w:tc>
          <w:tcPr>
            <w:tcW w:w="526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197" w:type="dxa"/>
            <w:gridSpan w:val="3"/>
            <w:shd w:val="clear" w:color="000000" w:fill="BFBFB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2003" w:type="dxa"/>
            <w:gridSpan w:val="2"/>
            <w:shd w:val="clear" w:color="000000" w:fill="BFBFB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2013" w:type="dxa"/>
            <w:gridSpan w:val="2"/>
            <w:shd w:val="clear" w:color="000000" w:fill="BFBFB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804C39" w:rsidRPr="00804C39" w:rsidTr="00804C39">
        <w:trPr>
          <w:trHeight w:val="180"/>
        </w:trPr>
        <w:tc>
          <w:tcPr>
            <w:tcW w:w="526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6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76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4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59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44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1069" w:type="dxa"/>
            <w:vMerge w:val="restart"/>
            <w:shd w:val="clear" w:color="000000" w:fill="D9D9D9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804C39" w:rsidRPr="00804C39" w:rsidTr="00804C39">
        <w:trPr>
          <w:trHeight w:val="180"/>
        </w:trPr>
        <w:tc>
          <w:tcPr>
            <w:tcW w:w="526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9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44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804C39" w:rsidRPr="00804C39" w:rsidTr="00804C39">
        <w:trPr>
          <w:trHeight w:val="5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Arruela de vedação em borracha para </w:t>
            </w:r>
            <w:proofErr w:type="spell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hidrometro</w:t>
            </w:r>
            <w:proofErr w:type="spell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de 1/2;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0,1200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240,00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240,00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10000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1.200,00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Colar de tomada de PVC 60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mm  x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½;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6,8500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2.055,00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2.055,00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10.275,00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Colar de tomada de PVC 40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mm  x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½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3,1000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930,00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930,00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4.650,00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Colar de tomada de PVC 50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mm  x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½;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4,4800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1.344,00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1.344,00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6.720,00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Tubo de PVC de 150mm para água fria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65,0000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2.340,00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2.340,00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11.700,00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de  FF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x FF de 150 x 150 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611,9000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3.671,40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3.671,40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18.357,00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de  FF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x PVC de 150 x 150 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611,9000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3.671,40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3.671,40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18.357,00</w:t>
            </w:r>
          </w:p>
        </w:tc>
      </w:tr>
      <w:tr w:rsidR="00804C39" w:rsidRPr="00804C39" w:rsidTr="00804C39">
        <w:trPr>
          <w:trHeight w:val="540"/>
        </w:trPr>
        <w:tc>
          <w:tcPr>
            <w:tcW w:w="52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de  FF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x fibrocimento de 150 x 150 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611,9000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3.671,40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3.671,40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18.357,00</w:t>
            </w:r>
          </w:p>
        </w:tc>
      </w:tr>
      <w:tr w:rsidR="00804C39" w:rsidRPr="00804C39" w:rsidTr="00804C39">
        <w:trPr>
          <w:trHeight w:val="5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de PVC x Fibrocimento de 150 x 150 </w:t>
            </w:r>
            <w:proofErr w:type="spell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mmC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594,0000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5.940,00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5.940,00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29.700,00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de  FF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x FF de 200 x 200mm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734,9000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7.349,00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7.349,00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36.745,00</w:t>
            </w:r>
          </w:p>
        </w:tc>
      </w:tr>
      <w:tr w:rsidR="00804C39" w:rsidRPr="00804C39" w:rsidTr="00804C39">
        <w:trPr>
          <w:trHeight w:val="360"/>
        </w:trPr>
        <w:tc>
          <w:tcPr>
            <w:tcW w:w="52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de  FF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x PVC de 200 x 200 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734,9000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7.349,00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7.349,00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36.745,00</w:t>
            </w:r>
          </w:p>
        </w:tc>
      </w:tr>
      <w:tr w:rsidR="00804C39" w:rsidRPr="00804C39" w:rsidTr="00804C39">
        <w:trPr>
          <w:trHeight w:val="5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Luva de alta tolerância </w:t>
            </w:r>
            <w:proofErr w:type="gramStart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de  FF</w:t>
            </w:r>
            <w:proofErr w:type="gramEnd"/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 xml:space="preserve"> x Fibrocimento de 200 x 200 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734,9000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7.349,00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7.349,00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36.745,00</w:t>
            </w:r>
          </w:p>
        </w:tc>
      </w:tr>
      <w:tr w:rsidR="00804C39" w:rsidRPr="00804C39" w:rsidTr="00804C39">
        <w:trPr>
          <w:trHeight w:val="54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Luva de alta tolerância de PVC x Fibrocimento de 200 x 200 mm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kern w:val="2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734,9000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22.047,00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105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22.047,00</w:t>
            </w:r>
          </w:p>
        </w:tc>
        <w:tc>
          <w:tcPr>
            <w:tcW w:w="944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:rsidR="00804C39" w:rsidRPr="00804C39" w:rsidRDefault="00804C39" w:rsidP="00804C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</w:pPr>
            <w:r w:rsidRPr="00804C39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pt-BR"/>
              </w:rPr>
              <w:t>110.235,00</w:t>
            </w:r>
          </w:p>
        </w:tc>
      </w:tr>
    </w:tbl>
    <w:p w:rsidR="00346EE3" w:rsidRPr="0031545F" w:rsidRDefault="00346EE3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01 </w:t>
      </w:r>
      <w:r w:rsidRPr="0031545F">
        <w:rPr>
          <w:rFonts w:ascii="Verdana" w:hAnsi="Verdana" w:cs="Arial"/>
          <w:b/>
        </w:rPr>
        <w:noBreakHyphen/>
        <w:t xml:space="preserve"> DO OBJETO: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1545F">
        <w:rPr>
          <w:rFonts w:ascii="Verdana" w:hAnsi="Verdana"/>
          <w:sz w:val="22"/>
          <w:szCs w:val="22"/>
        </w:rPr>
        <w:t xml:space="preserve">I </w:t>
      </w:r>
      <w:r w:rsidRPr="0031545F"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346EE3" w:rsidRPr="0031545F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31545F" w:rsidRDefault="00E83D4F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02 </w:t>
      </w:r>
      <w:r w:rsidRPr="0031545F">
        <w:rPr>
          <w:rFonts w:ascii="Verdana" w:hAnsi="Verdana" w:cs="Arial"/>
          <w:b/>
        </w:rPr>
        <w:noBreakHyphen/>
        <w:t xml:space="preserve"> DA VALIDADE DO REGISTRO DE PREÇOS</w:t>
      </w:r>
    </w:p>
    <w:p w:rsidR="00346EE3" w:rsidRPr="0031545F" w:rsidRDefault="00346EE3">
      <w:pPr>
        <w:tabs>
          <w:tab w:val="right" w:pos="6589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A presente Ata de Registro de Preços terá a validade de 12 meses a partir da homologação do processo.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 </w:t>
      </w:r>
      <w:r w:rsidRPr="0031545F">
        <w:rPr>
          <w:rFonts w:ascii="Verdana" w:hAnsi="Verdan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III </w:t>
      </w:r>
      <w:r w:rsidRPr="0031545F">
        <w:rPr>
          <w:rFonts w:ascii="Verdana" w:hAnsi="Verdan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tabs>
          <w:tab w:val="right" w:pos="7944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03 </w:t>
      </w:r>
      <w:r w:rsidRPr="0031545F">
        <w:rPr>
          <w:rFonts w:ascii="Verdana" w:hAnsi="Verdana" w:cs="Arial"/>
          <w:b/>
        </w:rPr>
        <w:noBreakHyphen/>
        <w:t xml:space="preserve"> DA UTILIZAÇÃO DA ATA DE REGISTRO DE PREÇOS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right" w:pos="2401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04 </w:t>
      </w:r>
      <w:r w:rsidRPr="0031545F">
        <w:rPr>
          <w:rFonts w:ascii="Verdana" w:hAnsi="Verdana" w:cs="Arial"/>
          <w:b/>
        </w:rPr>
        <w:noBreakHyphen/>
        <w:t xml:space="preserve"> DO PREÇO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04523" w:rsidRPr="0031545F">
        <w:rPr>
          <w:rFonts w:ascii="Verdana" w:hAnsi="Verdana" w:cs="Arial"/>
        </w:rPr>
        <w:t>020/2018</w:t>
      </w:r>
      <w:r w:rsidRPr="0031545F">
        <w:rPr>
          <w:rFonts w:ascii="Verdana" w:hAnsi="Verdana" w:cs="Arial"/>
        </w:rPr>
        <w:t>.</w:t>
      </w:r>
    </w:p>
    <w:p w:rsidR="00346EE3" w:rsidRPr="0031545F" w:rsidRDefault="00346EE3">
      <w:pPr>
        <w:tabs>
          <w:tab w:val="right" w:pos="9122"/>
        </w:tabs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tabs>
          <w:tab w:val="right" w:pos="9122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 </w:t>
      </w:r>
      <w:r w:rsidRPr="0031545F">
        <w:rPr>
          <w:rFonts w:ascii="Verdana" w:hAnsi="Verdan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04523" w:rsidRPr="0031545F">
        <w:rPr>
          <w:rFonts w:ascii="Verdana" w:hAnsi="Verdana" w:cs="Arial"/>
        </w:rPr>
        <w:t>020/2018</w:t>
      </w:r>
      <w:r w:rsidRPr="0031545F">
        <w:rPr>
          <w:rFonts w:ascii="Verdana" w:hAnsi="Verdana" w:cs="Arial"/>
        </w:rPr>
        <w:t>, que integra o presente instrumento de compromisso.</w:t>
      </w:r>
    </w:p>
    <w:p w:rsidR="00346EE3" w:rsidRPr="0031545F" w:rsidRDefault="00346EE3">
      <w:pPr>
        <w:tabs>
          <w:tab w:val="right" w:pos="9106"/>
        </w:tabs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tabs>
          <w:tab w:val="right" w:pos="9106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III </w:t>
      </w:r>
      <w:r w:rsidRPr="0031545F">
        <w:rPr>
          <w:rFonts w:ascii="Verdana" w:hAnsi="Verdana" w:cs="Arial"/>
        </w:rPr>
        <w:noBreakHyphen/>
        <w:t xml:space="preserve"> Em cada fornecimento, o preço unitário a ser pago será o constante das propostas apresentadas, no Pregão nº </w:t>
      </w:r>
      <w:r w:rsidR="00F04523" w:rsidRPr="0031545F">
        <w:rPr>
          <w:rFonts w:ascii="Verdana" w:hAnsi="Verdana" w:cs="Arial"/>
        </w:rPr>
        <w:t>020/2018</w:t>
      </w:r>
      <w:r w:rsidRPr="0031545F">
        <w:rPr>
          <w:rFonts w:ascii="Verdana" w:hAnsi="Verdana" w:cs="Arial"/>
        </w:rPr>
        <w:t xml:space="preserve"> pelas empresas detentoras da presente Ata, as quais também a integram.</w:t>
      </w:r>
    </w:p>
    <w:p w:rsidR="00346EE3" w:rsidRPr="0031545F" w:rsidRDefault="00346EE3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E83D4F">
      <w:pPr>
        <w:tabs>
          <w:tab w:val="left" w:pos="50"/>
          <w:tab w:val="left" w:leader="dot" w:pos="5971"/>
          <w:tab w:val="right" w:pos="6021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05 </w:t>
      </w:r>
      <w:r w:rsidRPr="0031545F">
        <w:rPr>
          <w:rFonts w:ascii="Verdana" w:hAnsi="Verdana" w:cs="Arial"/>
          <w:b/>
        </w:rPr>
        <w:noBreakHyphen/>
        <w:t xml:space="preserve"> DO LOCAL E PRAZO DE ENTREGA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 </w:t>
      </w:r>
      <w:r w:rsidRPr="0031545F">
        <w:rPr>
          <w:rFonts w:ascii="Verdana" w:hAnsi="Verdana" w:cs="Arial"/>
        </w:rPr>
        <w:noBreakHyphen/>
        <w:t xml:space="preserve"> O local da entrega, em cada fornecimento, será o constante da Ordem de Fornecimento.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right" w:pos="3229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06 </w:t>
      </w:r>
      <w:r w:rsidRPr="0031545F">
        <w:rPr>
          <w:rFonts w:ascii="Verdana" w:hAnsi="Verdana" w:cs="Arial"/>
          <w:b/>
        </w:rPr>
        <w:noBreakHyphen/>
        <w:t xml:space="preserve"> DO PAGAMENTO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1545F">
        <w:rPr>
          <w:rFonts w:ascii="Verdana" w:hAnsi="Verdana" w:cs="Arial"/>
          <w:bCs/>
        </w:rPr>
        <w:t xml:space="preserve">em até 30 (trinta) dias após recebimento </w:t>
      </w:r>
      <w:r w:rsidRPr="0031545F">
        <w:rPr>
          <w:rFonts w:ascii="Verdana" w:hAnsi="Verdana" w:cs="Arial"/>
        </w:rPr>
        <w:t>definitivo pela unidade requisitante</w:t>
      </w:r>
      <w:r w:rsidRPr="0031545F">
        <w:rPr>
          <w:rFonts w:ascii="Verdana" w:hAnsi="Verdana" w:cs="Arial"/>
          <w:bCs/>
        </w:rPr>
        <w:t xml:space="preserve"> do objeto, </w:t>
      </w:r>
      <w:r w:rsidRPr="0031545F">
        <w:rPr>
          <w:rFonts w:ascii="Verdana" w:hAnsi="Verdana" w:cs="Arial"/>
        </w:rPr>
        <w:t>mediante apresentação da Nota Fiscal.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 w:cs="Arial"/>
        </w:rPr>
        <w:lastRenderedPageBreak/>
        <w:t xml:space="preserve">II </w:t>
      </w:r>
      <w:r w:rsidRPr="0031545F">
        <w:rPr>
          <w:rFonts w:ascii="Verdana" w:hAnsi="Verdana" w:cs="Arial"/>
        </w:rPr>
        <w:noBreakHyphen/>
        <w:t xml:space="preserve"> </w:t>
      </w:r>
      <w:r w:rsidRPr="0031545F">
        <w:rPr>
          <w:rFonts w:ascii="Verdana" w:hAnsi="Verdana"/>
        </w:rPr>
        <w:t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/>
        </w:rPr>
        <w:t xml:space="preserve">I= (TX/100) 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/>
        </w:rPr>
        <w:t xml:space="preserve">EM = I x N x VP, onde: 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/>
        </w:rPr>
        <w:t xml:space="preserve">I = Índice de atualização financeira; 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/>
        </w:rPr>
        <w:t xml:space="preserve">TX = Percentual da taxa de juros de mora anual; 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/>
        </w:rPr>
        <w:t xml:space="preserve">EM = Encargos moratórios; 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/>
        </w:rPr>
        <w:t xml:space="preserve">N = Número de dias entre a data prevista para o pagamento e a do efetivo pagamento; </w:t>
      </w:r>
    </w:p>
    <w:p w:rsidR="00346EE3" w:rsidRPr="0031545F" w:rsidRDefault="00E83D4F">
      <w:pPr>
        <w:pStyle w:val="Corpodetexto2"/>
        <w:spacing w:after="0" w:line="240" w:lineRule="auto"/>
        <w:jc w:val="both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VP = Valor da parcela em atraso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  <w:bCs/>
        </w:rPr>
      </w:pPr>
    </w:p>
    <w:p w:rsidR="00346EE3" w:rsidRPr="0031545F" w:rsidRDefault="00E83D4F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07 </w:t>
      </w:r>
      <w:r w:rsidRPr="0031545F">
        <w:rPr>
          <w:rFonts w:ascii="Verdana" w:hAnsi="Verdana" w:cs="Arial"/>
          <w:b/>
        </w:rPr>
        <w:noBreakHyphen/>
        <w:t xml:space="preserve"> DAS CONDIÇÕES DE FORNECIMENTO</w:t>
      </w:r>
    </w:p>
    <w:p w:rsidR="00346EE3" w:rsidRPr="0031545F" w:rsidRDefault="00346EE3">
      <w:pPr>
        <w:tabs>
          <w:tab w:val="right" w:pos="637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 </w:t>
      </w:r>
      <w:r w:rsidRPr="0031545F">
        <w:rPr>
          <w:rFonts w:ascii="Verdana" w:hAnsi="Verdan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III </w:t>
      </w:r>
      <w:r w:rsidRPr="0031545F">
        <w:rPr>
          <w:rFonts w:ascii="Verdana" w:hAnsi="Verdan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IV </w:t>
      </w:r>
      <w:r w:rsidRPr="0031545F">
        <w:rPr>
          <w:rFonts w:ascii="Verdana" w:hAnsi="Verdana" w:cs="Arial"/>
        </w:rPr>
        <w:noBreakHyphen/>
        <w:t xml:space="preserve"> Os produtos deverão ser entregues acompanhados da Nota Fiscal ou Nota Fiscal Fatura, conforme o caso.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V </w:t>
      </w:r>
      <w:r w:rsidRPr="0031545F">
        <w:rPr>
          <w:rFonts w:ascii="Verdana" w:hAnsi="Verdan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VI </w:t>
      </w:r>
      <w:r w:rsidRPr="0031545F">
        <w:rPr>
          <w:rFonts w:ascii="Verdana" w:hAnsi="Verdan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VII </w:t>
      </w:r>
      <w:r w:rsidRPr="0031545F">
        <w:rPr>
          <w:rFonts w:ascii="Verdana" w:hAnsi="Verdan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>VIII – Apresentar a atualização, a cada 180 dias, da Certidão Negativa de Débito Trabalhista (CNDT) referida na Lei nº 12.440 de 07.07.2011.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left" w:pos="92"/>
          <w:tab w:val="right" w:pos="4024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08 </w:t>
      </w:r>
      <w:r w:rsidRPr="0031545F">
        <w:rPr>
          <w:rFonts w:ascii="Verdana" w:hAnsi="Verdana" w:cs="Arial"/>
          <w:b/>
        </w:rPr>
        <w:noBreakHyphen/>
        <w:t xml:space="preserve"> DAS PENALIDADES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796EC9">
      <w:pPr>
        <w:tabs>
          <w:tab w:val="left" w:pos="1245"/>
        </w:tabs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 w:cs="Arial"/>
        </w:rPr>
        <w:t>I –</w:t>
      </w:r>
      <w:r w:rsidR="00E83D4F" w:rsidRPr="0031545F">
        <w:rPr>
          <w:rFonts w:ascii="Verdana" w:hAnsi="Verdana" w:cs="Arial"/>
        </w:rPr>
        <w:t xml:space="preserve"> Recusando-se a vencedora a assinatura da ata sem motivo justificado, caracterizará o descumprimento total da obrigação assumida, sujeitando-se </w:t>
      </w:r>
      <w:proofErr w:type="spellStart"/>
      <w:r w:rsidR="00E83D4F" w:rsidRPr="0031545F">
        <w:rPr>
          <w:rFonts w:ascii="Verdana" w:hAnsi="Verdana" w:cs="Arial"/>
        </w:rPr>
        <w:t>á</w:t>
      </w:r>
      <w:proofErr w:type="spellEnd"/>
      <w:r w:rsidR="00E83D4F" w:rsidRPr="0031545F">
        <w:rPr>
          <w:rFonts w:ascii="Verdana" w:hAnsi="Verdan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796EC9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 w:cs="Arial"/>
        </w:rPr>
        <w:t>II –</w:t>
      </w:r>
      <w:r w:rsidR="00E83D4F" w:rsidRPr="0031545F">
        <w:rPr>
          <w:rFonts w:ascii="Verdana" w:hAnsi="Verdana" w:cs="Arial"/>
        </w:rPr>
        <w:t xml:space="preserve">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796EC9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 w:cs="Arial"/>
        </w:rPr>
        <w:t>A</w:t>
      </w:r>
      <w:r w:rsidR="00E83D4F" w:rsidRPr="0031545F">
        <w:rPr>
          <w:rFonts w:ascii="Verdana" w:hAnsi="Verdana" w:cs="Arial"/>
        </w:rPr>
        <w:t>. Advertência;</w:t>
      </w:r>
    </w:p>
    <w:p w:rsidR="00346EE3" w:rsidRPr="0031545F" w:rsidRDefault="00346EE3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346EE3" w:rsidRPr="0031545F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B</w:t>
      </w:r>
      <w:r w:rsidR="00E83D4F" w:rsidRPr="0031545F">
        <w:rPr>
          <w:rFonts w:ascii="Verdana" w:hAnsi="Verdana" w:cs="Arial"/>
          <w:sz w:val="22"/>
          <w:szCs w:val="22"/>
        </w:rPr>
        <w:t>. Multa de 0,3% (três décimos por cento) por dia, até o 10</w:t>
      </w:r>
      <w:r w:rsidR="00E83D4F" w:rsidRPr="0031545F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="00E83D4F" w:rsidRPr="0031545F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346EE3" w:rsidRPr="0031545F" w:rsidRDefault="00346EE3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346EE3" w:rsidRPr="0031545F" w:rsidRDefault="00796EC9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C</w:t>
      </w:r>
      <w:r w:rsidR="00E83D4F" w:rsidRPr="0031545F">
        <w:rPr>
          <w:rFonts w:ascii="Verdana" w:hAnsi="Verdana" w:cs="Arial"/>
          <w:sz w:val="22"/>
          <w:szCs w:val="22"/>
        </w:rPr>
        <w:t>. Multa de 20% (vinte por cento) sobre o valor do saldo do valor do contrato, no caso de atraso superior a 10 (dez) dias, com a consequente rescisão contratual, quando for o caso;</w:t>
      </w:r>
    </w:p>
    <w:p w:rsidR="00346EE3" w:rsidRPr="0031545F" w:rsidRDefault="00346EE3">
      <w:pPr>
        <w:pStyle w:val="Corpodetexto"/>
        <w:spacing w:after="0"/>
        <w:rPr>
          <w:rFonts w:ascii="Verdana" w:hAnsi="Verdana"/>
          <w:sz w:val="22"/>
          <w:szCs w:val="22"/>
        </w:rPr>
      </w:pPr>
    </w:p>
    <w:p w:rsidR="00346EE3" w:rsidRPr="0031545F" w:rsidRDefault="00796EC9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D</w:t>
      </w:r>
      <w:r w:rsidR="00E83D4F" w:rsidRPr="0031545F">
        <w:rPr>
          <w:rFonts w:ascii="Verdana" w:hAnsi="Verdana" w:cs="Arial"/>
          <w:sz w:val="22"/>
          <w:szCs w:val="22"/>
        </w:rPr>
        <w:t>. Multa de 20% (vinte por cento) sobre o valor do contrato, nos casos:</w:t>
      </w:r>
    </w:p>
    <w:p w:rsidR="00346EE3" w:rsidRPr="0031545F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346EE3" w:rsidRPr="0031545F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346EE3" w:rsidRPr="0031545F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346EE3" w:rsidRPr="0031545F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pStyle w:val="Corpodetexto"/>
        <w:spacing w:after="0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d) descumprimento de cláusula contratual.</w:t>
      </w:r>
    </w:p>
    <w:p w:rsidR="00346EE3" w:rsidRPr="0031545F" w:rsidRDefault="00346EE3">
      <w:pPr>
        <w:tabs>
          <w:tab w:val="center" w:pos="2268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796EC9">
      <w:pPr>
        <w:tabs>
          <w:tab w:val="center" w:pos="2268"/>
        </w:tabs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 w:cs="Arial"/>
        </w:rPr>
        <w:t>III –</w:t>
      </w:r>
      <w:r w:rsidR="00E83D4F" w:rsidRPr="0031545F">
        <w:rPr>
          <w:rFonts w:ascii="Verdana" w:hAnsi="Verdana" w:cs="Arial"/>
        </w:rPr>
        <w:t xml:space="preserve"> </w:t>
      </w:r>
      <w:r w:rsidR="00E83D4F" w:rsidRPr="0031545F">
        <w:rPr>
          <w:rFonts w:ascii="Verdana" w:hAnsi="Verdan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2C36F6">
      <w:pPr>
        <w:spacing w:after="0" w:line="240" w:lineRule="auto"/>
        <w:jc w:val="both"/>
        <w:rPr>
          <w:rFonts w:ascii="Verdana" w:hAnsi="Verdana"/>
        </w:rPr>
      </w:pPr>
      <w:r w:rsidRPr="0031545F">
        <w:rPr>
          <w:rFonts w:ascii="Verdana" w:hAnsi="Verdana" w:cs="Arial"/>
        </w:rPr>
        <w:lastRenderedPageBreak/>
        <w:t xml:space="preserve">IV – </w:t>
      </w:r>
      <w:r w:rsidR="00E83D4F" w:rsidRPr="0031545F">
        <w:rPr>
          <w:rFonts w:ascii="Verdana" w:hAnsi="Verdana" w:cs="Arial"/>
        </w:rPr>
        <w:t>Declaração de inidoneidade para licitar ou contratar com a Administração Pública, enquanto perdurarem os motivos determinantes da punição ou até que o contratante promova sua reabilitação.</w:t>
      </w:r>
    </w:p>
    <w:p w:rsidR="00346EE3" w:rsidRPr="0031545F" w:rsidRDefault="00346EE3">
      <w:pPr>
        <w:pStyle w:val="Corpodetexto"/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2C36F6">
      <w:pPr>
        <w:pStyle w:val="Corpodetexto"/>
        <w:spacing w:after="0"/>
        <w:jc w:val="both"/>
        <w:rPr>
          <w:rFonts w:ascii="Verdana" w:hAnsi="Verdana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V -</w:t>
      </w:r>
      <w:r w:rsidR="00E83D4F" w:rsidRPr="0031545F">
        <w:rPr>
          <w:rFonts w:ascii="Verdana" w:hAnsi="Verdana" w:cs="Arial"/>
          <w:sz w:val="22"/>
          <w:szCs w:val="22"/>
        </w:rPr>
        <w:t xml:space="preserve">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346EE3" w:rsidRPr="0031545F" w:rsidRDefault="00346EE3">
      <w:pPr>
        <w:pStyle w:val="Preformatted"/>
        <w:tabs>
          <w:tab w:val="left" w:pos="7230"/>
        </w:tabs>
        <w:jc w:val="both"/>
        <w:rPr>
          <w:rFonts w:ascii="Verdana" w:hAnsi="Verdana" w:cs="Arial"/>
          <w:b/>
          <w:strike/>
          <w:sz w:val="22"/>
          <w:szCs w:val="22"/>
          <w:highlight w:val="yellow"/>
        </w:rPr>
      </w:pPr>
    </w:p>
    <w:p w:rsidR="00346EE3" w:rsidRPr="0031545F" w:rsidRDefault="00E83D4F">
      <w:pPr>
        <w:tabs>
          <w:tab w:val="right" w:pos="6019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09 </w:t>
      </w:r>
      <w:r w:rsidRPr="0031545F">
        <w:rPr>
          <w:rFonts w:ascii="Verdana" w:hAnsi="Verdana" w:cs="Arial"/>
          <w:b/>
        </w:rPr>
        <w:noBreakHyphen/>
        <w:t xml:space="preserve"> DOS REAJUSTAMENTOS DE PREÇOS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04523" w:rsidRPr="0031545F">
        <w:rPr>
          <w:rFonts w:ascii="Verdana" w:hAnsi="Verdana" w:cs="Arial"/>
        </w:rPr>
        <w:t>020/2018</w:t>
      </w:r>
      <w:r w:rsidRPr="0031545F">
        <w:rPr>
          <w:rFonts w:ascii="Verdana" w:hAnsi="Verdana" w:cs="Arial"/>
        </w:rPr>
        <w:t>, que integra a presente Ata de Registro de Preços, ressalvados os casos de revisão de registro a que se refere o Decreto instituidor do Registro de preços.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 </w:t>
      </w:r>
      <w:r w:rsidRPr="0031545F">
        <w:rPr>
          <w:rFonts w:ascii="Verdana" w:hAnsi="Verdan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10 </w:t>
      </w:r>
      <w:r w:rsidRPr="0031545F">
        <w:rPr>
          <w:rFonts w:ascii="Verdana" w:hAnsi="Verdana" w:cs="Arial"/>
          <w:b/>
        </w:rPr>
        <w:noBreakHyphen/>
        <w:t xml:space="preserve"> DAS CONDIÇÕES DE RECEBIMENTO DO OBJETO DA ATA DE REGISTRO DE PREÇOS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II </w:t>
      </w:r>
      <w:r w:rsidRPr="0031545F">
        <w:rPr>
          <w:rFonts w:ascii="Verdana" w:hAnsi="Verdana" w:cs="Arial"/>
        </w:rPr>
        <w:noBreakHyphen/>
        <w:t xml:space="preserve"> A cada fornecimento serão emitidos recibos, nos termos do art. 73, II, “a” e “b”, da Lei Federal 8.666/93.</w:t>
      </w:r>
    </w:p>
    <w:p w:rsidR="00346EE3" w:rsidRPr="0031545F" w:rsidRDefault="00346EE3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right" w:pos="8512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11 </w:t>
      </w:r>
      <w:r w:rsidRPr="0031545F">
        <w:rPr>
          <w:rFonts w:ascii="Verdana" w:hAnsi="Verdana" w:cs="Arial"/>
          <w:b/>
        </w:rPr>
        <w:noBreakHyphen/>
        <w:t xml:space="preserve"> DO CANCELAMENTO DA ATA DE REGISTRO DE PREÇOS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I </w:t>
      </w:r>
      <w:r w:rsidRPr="0031545F">
        <w:rPr>
          <w:rFonts w:ascii="Verdana" w:hAnsi="Verdana" w:cs="Arial"/>
        </w:rPr>
        <w:noBreakHyphen/>
        <w:t xml:space="preserve"> A presente Ata de Registro de Preços poderá ser cancelada, de pleno direito:</w:t>
      </w:r>
    </w:p>
    <w:p w:rsidR="00346EE3" w:rsidRPr="0031545F" w:rsidRDefault="00346EE3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E83D4F">
      <w:pPr>
        <w:tabs>
          <w:tab w:val="left" w:pos="226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>Pela Administração, quando:</w:t>
      </w:r>
    </w:p>
    <w:p w:rsidR="00346EE3" w:rsidRPr="0031545F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A </w:t>
      </w:r>
      <w:r w:rsidRPr="0031545F">
        <w:rPr>
          <w:rFonts w:ascii="Verdana" w:hAnsi="Verdana" w:cs="Arial"/>
        </w:rPr>
        <w:noBreakHyphen/>
        <w:t xml:space="preserve"> </w:t>
      </w:r>
      <w:proofErr w:type="spellStart"/>
      <w:r w:rsidRPr="0031545F">
        <w:rPr>
          <w:rFonts w:ascii="Verdana" w:hAnsi="Verdana" w:cs="Arial"/>
        </w:rPr>
        <w:t>a</w:t>
      </w:r>
      <w:proofErr w:type="spellEnd"/>
      <w:r w:rsidRPr="0031545F">
        <w:rPr>
          <w:rFonts w:ascii="Verdana" w:hAnsi="Verdana" w:cs="Arial"/>
        </w:rPr>
        <w:t xml:space="preserve"> detentora não cumprir as obrigações constantes desta Ata de Registro de Preços;</w:t>
      </w:r>
    </w:p>
    <w:p w:rsidR="00346EE3" w:rsidRPr="0031545F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B </w:t>
      </w:r>
      <w:r w:rsidRPr="0031545F">
        <w:rPr>
          <w:rFonts w:ascii="Verdana" w:hAnsi="Verdana" w:cs="Arial"/>
        </w:rPr>
        <w:noBreakHyphen/>
        <w:t xml:space="preserve"> a detentora não retirar qualquer Ordem de Fornecimento, no prazo estabelecido, e a Administração não aceitar sua justificativa;</w:t>
      </w:r>
    </w:p>
    <w:p w:rsidR="00346EE3" w:rsidRPr="0031545F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C </w:t>
      </w:r>
      <w:r w:rsidRPr="0031545F">
        <w:rPr>
          <w:rFonts w:ascii="Verdana" w:hAnsi="Verdana" w:cs="Arial"/>
        </w:rPr>
        <w:noBreakHyphen/>
        <w:t xml:space="preserve"> a detentora der causa a rescisão administrativa de contrato decorrente de registro de preços, a critério da Administração;</w:t>
      </w:r>
    </w:p>
    <w:p w:rsidR="00346EE3" w:rsidRPr="0031545F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lastRenderedPageBreak/>
        <w:t xml:space="preserve">D </w:t>
      </w:r>
      <w:r w:rsidRPr="0031545F">
        <w:rPr>
          <w:rFonts w:ascii="Verdana" w:hAnsi="Verdan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346EE3" w:rsidRPr="0031545F" w:rsidRDefault="00346EE3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right" w:pos="8371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E </w:t>
      </w:r>
      <w:r w:rsidRPr="0031545F">
        <w:rPr>
          <w:rFonts w:ascii="Verdana" w:hAnsi="Verdana" w:cs="Arial"/>
        </w:rPr>
        <w:noBreakHyphen/>
        <w:t xml:space="preserve"> os preços registrados se apresentarem superiores aos praticados no mercado;</w:t>
      </w:r>
    </w:p>
    <w:p w:rsidR="00346EE3" w:rsidRPr="0031545F" w:rsidRDefault="00346EE3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tabs>
          <w:tab w:val="left" w:pos="715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F </w:t>
      </w:r>
      <w:r w:rsidRPr="0031545F">
        <w:rPr>
          <w:rFonts w:ascii="Verdana" w:hAnsi="Verdana" w:cs="Arial"/>
        </w:rPr>
        <w:noBreakHyphen/>
        <w:t xml:space="preserve"> por razões de interesse público devidamente demonstradas e justificadas pela Administração;</w:t>
      </w:r>
    </w:p>
    <w:p w:rsidR="00346EE3" w:rsidRPr="0031545F" w:rsidRDefault="00346EE3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:rsidR="00346EE3" w:rsidRPr="0031545F" w:rsidRDefault="00E83D4F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1545F">
        <w:rPr>
          <w:rFonts w:ascii="Verdana" w:hAnsi="Verdana"/>
          <w:sz w:val="22"/>
          <w:szCs w:val="22"/>
        </w:rPr>
        <w:t xml:space="preserve">G </w:t>
      </w:r>
      <w:r w:rsidRPr="0031545F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46EE3" w:rsidRPr="0031545F" w:rsidRDefault="00346EE3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346EE3" w:rsidRPr="0031545F" w:rsidRDefault="00E83D4F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b/>
          <w:sz w:val="22"/>
          <w:szCs w:val="22"/>
        </w:rPr>
        <w:t>Pelas detentoras, quando</w:t>
      </w:r>
      <w:r w:rsidRPr="0031545F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46EE3" w:rsidRPr="0031545F" w:rsidRDefault="00346EE3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346EE3" w:rsidRPr="0031545F" w:rsidRDefault="00E83D4F">
      <w:pPr>
        <w:tabs>
          <w:tab w:val="left" w:pos="717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 xml:space="preserve">A </w:t>
      </w:r>
      <w:r w:rsidRPr="0031545F">
        <w:rPr>
          <w:rFonts w:ascii="Verdana" w:hAnsi="Verdana" w:cs="Arial"/>
        </w:rPr>
        <w:noBreakHyphen/>
        <w:t xml:space="preserve"> </w:t>
      </w:r>
      <w:proofErr w:type="spellStart"/>
      <w:r w:rsidRPr="0031545F">
        <w:rPr>
          <w:rFonts w:ascii="Verdana" w:hAnsi="Verdana" w:cs="Arial"/>
        </w:rPr>
        <w:t>a</w:t>
      </w:r>
      <w:proofErr w:type="spellEnd"/>
      <w:r w:rsidRPr="0031545F">
        <w:rPr>
          <w:rFonts w:ascii="Verdana" w:hAnsi="Verdan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346EE3" w:rsidRPr="0031545F" w:rsidRDefault="00346EE3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</w:p>
    <w:p w:rsidR="00346EE3" w:rsidRPr="0031545F" w:rsidRDefault="00E83D4F">
      <w:pPr>
        <w:tabs>
          <w:tab w:val="right" w:pos="6945"/>
        </w:tabs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 xml:space="preserve">12 </w:t>
      </w:r>
      <w:r w:rsidRPr="0031545F">
        <w:rPr>
          <w:rFonts w:ascii="Verdana" w:hAnsi="Verdana" w:cs="Arial"/>
          <w:b/>
        </w:rPr>
        <w:noBreakHyphen/>
        <w:t xml:space="preserve"> DA AUTORIZAÇÃO PARA FORNECIMENTO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>I</w:t>
      </w:r>
      <w:r w:rsidRPr="0031545F">
        <w:rPr>
          <w:rFonts w:ascii="Verdana" w:hAnsi="Verdana" w:cs="Arial"/>
          <w:b/>
        </w:rPr>
        <w:t xml:space="preserve"> </w:t>
      </w:r>
      <w:r w:rsidRPr="0031545F">
        <w:rPr>
          <w:rFonts w:ascii="Verdana" w:hAnsi="Verdana" w:cs="Arial"/>
          <w:b/>
        </w:rPr>
        <w:noBreakHyphen/>
      </w:r>
      <w:r w:rsidRPr="0031545F">
        <w:rPr>
          <w:rFonts w:ascii="Verdana" w:hAnsi="Verdana" w:cs="Arial"/>
        </w:rPr>
        <w:t xml:space="preserve"> As aquisições do objeto da presente Ata de Registro de Preços serão autorizadas, caso a caso, pelo Secretário requisitante.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  <w:b/>
        </w:rPr>
      </w:pPr>
      <w:r w:rsidRPr="0031545F">
        <w:rPr>
          <w:rFonts w:ascii="Verdana" w:hAnsi="Verdana" w:cs="Arial"/>
          <w:b/>
        </w:rPr>
        <w:t>13- DAS DISPOSIÇÕES FINAIS</w:t>
      </w:r>
    </w:p>
    <w:p w:rsidR="00346EE3" w:rsidRPr="0031545F" w:rsidRDefault="00346EE3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F04523" w:rsidRPr="0031545F">
        <w:rPr>
          <w:rFonts w:ascii="Verdana" w:hAnsi="Verdana" w:cs="Arial"/>
          <w:sz w:val="22"/>
          <w:szCs w:val="22"/>
        </w:rPr>
        <w:t>020/2018</w:t>
      </w:r>
      <w:r w:rsidRPr="0031545F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346EE3" w:rsidRPr="0031545F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tabs>
          <w:tab w:val="right" w:pos="9112"/>
        </w:tabs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>14.2. Fica eleito o foro desta Comarca de Pitangui/MG para dirimir quaisquer questões decorrentes da utilização da presente Ata.</w:t>
      </w:r>
    </w:p>
    <w:p w:rsidR="00346EE3" w:rsidRPr="0031545F" w:rsidRDefault="00346EE3">
      <w:pPr>
        <w:tabs>
          <w:tab w:val="right" w:pos="9112"/>
        </w:tabs>
        <w:spacing w:after="0" w:line="240" w:lineRule="auto"/>
        <w:jc w:val="both"/>
        <w:rPr>
          <w:rFonts w:ascii="Verdana" w:hAnsi="Verdana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t>14.3. Os casos omissos serão resolvidos de acordo com a Lei Federal 8.666/93, Lei 10.520/02 e demais normas aplicáveis. Subsidiariamente, aplicar-se-ão os princípios gerais de Direito.</w:t>
      </w: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346EE3">
      <w:pPr>
        <w:spacing w:after="0" w:line="240" w:lineRule="auto"/>
        <w:jc w:val="both"/>
        <w:rPr>
          <w:rFonts w:ascii="Verdana" w:hAnsi="Verdana" w:cs="Arial"/>
        </w:rPr>
      </w:pPr>
    </w:p>
    <w:p w:rsidR="00346EE3" w:rsidRPr="0031545F" w:rsidRDefault="00346EE3">
      <w:pPr>
        <w:spacing w:after="0" w:line="240" w:lineRule="auto"/>
        <w:jc w:val="center"/>
        <w:rPr>
          <w:rFonts w:ascii="Verdana" w:hAnsi="Verdana" w:cs="Arial"/>
        </w:rPr>
      </w:pPr>
    </w:p>
    <w:p w:rsidR="00346EE3" w:rsidRPr="0031545F" w:rsidRDefault="00E83D4F">
      <w:pPr>
        <w:spacing w:after="0" w:line="240" w:lineRule="auto"/>
        <w:jc w:val="both"/>
        <w:rPr>
          <w:rFonts w:ascii="Verdana" w:hAnsi="Verdana" w:cs="Arial"/>
        </w:rPr>
      </w:pPr>
      <w:r w:rsidRPr="0031545F">
        <w:rPr>
          <w:rFonts w:ascii="Verdana" w:hAnsi="Verdana" w:cs="Arial"/>
        </w:rPr>
        <w:lastRenderedPageBreak/>
        <w:t xml:space="preserve">Papagaios, </w:t>
      </w:r>
      <w:r w:rsidR="00C370B3" w:rsidRPr="0031545F">
        <w:rPr>
          <w:rFonts w:ascii="Verdana" w:hAnsi="Verdana" w:cs="Arial"/>
        </w:rPr>
        <w:t>14 de março de 2018</w:t>
      </w:r>
      <w:r w:rsidRPr="0031545F">
        <w:rPr>
          <w:rFonts w:ascii="Verdana" w:hAnsi="Verdana" w:cs="Arial"/>
        </w:rPr>
        <w:t>.</w:t>
      </w:r>
    </w:p>
    <w:p w:rsidR="00346EE3" w:rsidRPr="0031545F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31545F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31545F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31545F" w:rsidRDefault="00346EE3">
      <w:pPr>
        <w:pStyle w:val="Corpodetexto"/>
        <w:spacing w:after="0"/>
        <w:jc w:val="both"/>
        <w:rPr>
          <w:rFonts w:ascii="Verdana" w:hAnsi="Verdana" w:cs="Arial"/>
          <w:sz w:val="22"/>
          <w:szCs w:val="22"/>
        </w:rPr>
      </w:pPr>
    </w:p>
    <w:p w:rsidR="00346EE3" w:rsidRPr="0031545F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46EE3" w:rsidRPr="0031545F" w:rsidRDefault="00E83D4F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31545F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46EE3" w:rsidRPr="0031545F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31545F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</w:p>
    <w:p w:rsidR="00346EE3" w:rsidRPr="0031545F" w:rsidRDefault="00346EE3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346EE3" w:rsidRPr="0031545F" w:rsidRDefault="0028750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proofErr w:type="spellStart"/>
      <w:r w:rsidRPr="0031545F">
        <w:rPr>
          <w:rFonts w:ascii="Verdana" w:hAnsi="Verdana" w:cs="Arial"/>
          <w:sz w:val="22"/>
          <w:szCs w:val="22"/>
        </w:rPr>
        <w:t>Hidrosanbh</w:t>
      </w:r>
      <w:proofErr w:type="spellEnd"/>
      <w:r w:rsidRPr="0031545F">
        <w:rPr>
          <w:rFonts w:ascii="Verdana" w:hAnsi="Verdana" w:cs="Arial"/>
          <w:sz w:val="22"/>
          <w:szCs w:val="22"/>
        </w:rPr>
        <w:t xml:space="preserve"> Soluções em Saneamento e Medição de Água </w:t>
      </w:r>
      <w:proofErr w:type="spellStart"/>
      <w:r w:rsidRPr="0031545F">
        <w:rPr>
          <w:rFonts w:ascii="Verdana" w:hAnsi="Verdana" w:cs="Arial"/>
          <w:sz w:val="22"/>
          <w:szCs w:val="22"/>
        </w:rPr>
        <w:t>Eireli</w:t>
      </w:r>
      <w:proofErr w:type="spellEnd"/>
      <w:r w:rsidRPr="0031545F">
        <w:rPr>
          <w:rFonts w:ascii="Verdana" w:hAnsi="Verdana" w:cs="Arial"/>
          <w:sz w:val="22"/>
          <w:szCs w:val="22"/>
        </w:rPr>
        <w:t xml:space="preserve"> EPP</w:t>
      </w:r>
    </w:p>
    <w:p w:rsidR="00287508" w:rsidRPr="0031545F" w:rsidRDefault="00287508">
      <w:pPr>
        <w:pStyle w:val="Corpodetexto"/>
        <w:spacing w:after="0"/>
        <w:jc w:val="center"/>
        <w:rPr>
          <w:rFonts w:ascii="Verdana" w:hAnsi="Verdana" w:cs="Arial"/>
          <w:sz w:val="22"/>
          <w:szCs w:val="22"/>
        </w:rPr>
      </w:pPr>
      <w:r w:rsidRPr="0031545F">
        <w:rPr>
          <w:rFonts w:ascii="Verdana" w:hAnsi="Verdana" w:cs="Arial"/>
          <w:sz w:val="22"/>
          <w:szCs w:val="22"/>
        </w:rPr>
        <w:t>CNPJ/MF 02.232.638/0001-55</w:t>
      </w:r>
    </w:p>
    <w:sectPr w:rsidR="00287508" w:rsidRPr="0031545F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B9" w:rsidRDefault="00E83D4F">
      <w:pPr>
        <w:spacing w:after="0" w:line="240" w:lineRule="auto"/>
      </w:pPr>
      <w:r>
        <w:separator/>
      </w:r>
    </w:p>
  </w:endnote>
  <w:endnote w:type="continuationSeparator" w:id="0">
    <w:p w:rsidR="00B328B9" w:rsidRDefault="00E8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B9" w:rsidRDefault="00E83D4F">
      <w:pPr>
        <w:spacing w:after="0" w:line="240" w:lineRule="auto"/>
      </w:pPr>
      <w:r>
        <w:separator/>
      </w:r>
    </w:p>
  </w:footnote>
  <w:footnote w:type="continuationSeparator" w:id="0">
    <w:p w:rsidR="00B328B9" w:rsidRDefault="00E8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26B1B"/>
    <w:rsid w:val="00071E54"/>
    <w:rsid w:val="0008701C"/>
    <w:rsid w:val="001B5D1E"/>
    <w:rsid w:val="00210FD8"/>
    <w:rsid w:val="00247BEF"/>
    <w:rsid w:val="00287508"/>
    <w:rsid w:val="002C36F6"/>
    <w:rsid w:val="003102B1"/>
    <w:rsid w:val="0031545F"/>
    <w:rsid w:val="003209D5"/>
    <w:rsid w:val="003457EA"/>
    <w:rsid w:val="00346EE3"/>
    <w:rsid w:val="003D1005"/>
    <w:rsid w:val="003F46E8"/>
    <w:rsid w:val="003F55D1"/>
    <w:rsid w:val="004526D9"/>
    <w:rsid w:val="005937A6"/>
    <w:rsid w:val="005A0CC7"/>
    <w:rsid w:val="005A3440"/>
    <w:rsid w:val="0066409A"/>
    <w:rsid w:val="006709C5"/>
    <w:rsid w:val="00745EE8"/>
    <w:rsid w:val="00765FCA"/>
    <w:rsid w:val="0077017E"/>
    <w:rsid w:val="00775184"/>
    <w:rsid w:val="00777A1B"/>
    <w:rsid w:val="00790E98"/>
    <w:rsid w:val="00796EC9"/>
    <w:rsid w:val="007E7333"/>
    <w:rsid w:val="008020A0"/>
    <w:rsid w:val="00804C39"/>
    <w:rsid w:val="00804E05"/>
    <w:rsid w:val="00934867"/>
    <w:rsid w:val="00A15133"/>
    <w:rsid w:val="00A33EC6"/>
    <w:rsid w:val="00B328B9"/>
    <w:rsid w:val="00C370B3"/>
    <w:rsid w:val="00CE7F25"/>
    <w:rsid w:val="00CF64BB"/>
    <w:rsid w:val="00D17C0D"/>
    <w:rsid w:val="00E21C11"/>
    <w:rsid w:val="00E83D4F"/>
    <w:rsid w:val="00F04523"/>
    <w:rsid w:val="00F255A0"/>
    <w:rsid w:val="00F858CD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C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spacing w:after="0" w:line="240" w:lineRule="auto"/>
      <w:ind w:left="1152" w:hanging="1152"/>
      <w:outlineLvl w:val="5"/>
    </w:pPr>
    <w:rPr>
      <w:rFonts w:ascii="Arial" w:eastAsia="Times New Roman" w:hAnsi="Arial" w:cs="Arial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spacing w:after="0" w:line="240" w:lineRule="auto"/>
      <w:ind w:firstLine="144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after="0" w:line="380" w:lineRule="atLeast"/>
      <w:ind w:left="1440" w:firstLine="46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 w:line="240" w:lineRule="auto"/>
      <w:ind w:left="720" w:right="720"/>
      <w:jc w:val="both"/>
    </w:pPr>
    <w:rPr>
      <w:rFonts w:ascii="Times New Roman" w:eastAsia="Times New Roman" w:hAnsi="Times New Roman" w:cs="Arial"/>
      <w:b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 w:line="240" w:lineRule="auto"/>
      <w:ind w:firstLine="567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 w:line="240" w:lineRule="auto"/>
      <w:ind w:firstLine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 w:line="240" w:lineRule="auto"/>
      <w:jc w:val="center"/>
    </w:pPr>
    <w:rPr>
      <w:rFonts w:ascii="Tahoma" w:eastAsia="Times New Roman" w:hAnsi="Tahoma" w:cs="Tahoma"/>
      <w:b/>
      <w:bCs/>
      <w:iCs/>
      <w:sz w:val="24"/>
      <w:szCs w:val="20"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 w:line="240" w:lineRule="auto"/>
      <w:ind w:left="720" w:right="720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 w:line="240" w:lineRule="auto"/>
      <w:ind w:left="1843" w:firstLine="567"/>
    </w:pPr>
    <w:rPr>
      <w:rFonts w:ascii="Tahoma" w:eastAsia="Times New Roman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pt-BR"/>
    </w:rPr>
  </w:style>
  <w:style w:type="paragraph" w:customStyle="1" w:styleId="xl66">
    <w:name w:val="xl66"/>
    <w:basedOn w:val="Normal"/>
    <w:qFormat/>
    <w:rsid w:val="0078564D"/>
    <w:pP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7">
    <w:name w:val="xl67"/>
    <w:basedOn w:val="Normal"/>
    <w:qFormat/>
    <w:rsid w:val="0078564D"/>
    <w:pPr>
      <w:spacing w:beforeAutospacing="1" w:afterAutospacing="1" w:line="240" w:lineRule="auto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textAlignment w:val="top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Verdana" w:eastAsia="Times New Roman" w:hAnsi="Verdana" w:cs="Times New Roman"/>
      <w:color w:val="FF0000"/>
      <w:sz w:val="16"/>
      <w:szCs w:val="16"/>
      <w:lang w:eastAsia="pt-BR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2018-03-14T11:52:00Z</cp:lastPrinted>
  <dcterms:created xsi:type="dcterms:W3CDTF">2018-03-14T12:48:00Z</dcterms:created>
  <dcterms:modified xsi:type="dcterms:W3CDTF">2018-03-14T12:54:00Z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