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B" w:rsidRPr="00287446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287446">
        <w:rPr>
          <w:rFonts w:ascii="Verdana" w:hAnsi="Verdana"/>
          <w:b/>
          <w:sz w:val="22"/>
          <w:szCs w:val="22"/>
        </w:rPr>
        <w:t xml:space="preserve">PROCESSO LICITATÓRIO Nº </w:t>
      </w:r>
      <w:r w:rsidR="00D75DD1" w:rsidRPr="00287446">
        <w:rPr>
          <w:rFonts w:ascii="Verdana" w:hAnsi="Verdana"/>
          <w:b/>
          <w:sz w:val="22"/>
          <w:szCs w:val="22"/>
        </w:rPr>
        <w:t>031/2018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28744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75DD1" w:rsidRPr="00287446">
        <w:rPr>
          <w:rFonts w:ascii="Verdana" w:hAnsi="Verdana" w:cs="Arial"/>
          <w:b/>
          <w:sz w:val="22"/>
          <w:szCs w:val="22"/>
        </w:rPr>
        <w:t>015/2018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287446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ATA DE REGISTRO DE PREÇOS Nº </w:t>
      </w:r>
      <w:r w:rsidR="006E4F98" w:rsidRPr="00287446">
        <w:rPr>
          <w:rFonts w:ascii="Verdana" w:hAnsi="Verdana" w:cs="Arial"/>
          <w:sz w:val="22"/>
          <w:szCs w:val="22"/>
        </w:rPr>
        <w:t>014</w:t>
      </w:r>
      <w:r w:rsidR="00D75DD1" w:rsidRPr="00287446">
        <w:rPr>
          <w:rFonts w:ascii="Verdana" w:hAnsi="Verdana" w:cs="Arial"/>
          <w:sz w:val="22"/>
          <w:szCs w:val="22"/>
        </w:rPr>
        <w:t>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PREGÃO Nº </w:t>
      </w:r>
      <w:r w:rsidR="00D75DD1" w:rsidRPr="00287446">
        <w:rPr>
          <w:rFonts w:ascii="Verdana" w:hAnsi="Verdana" w:cs="Arial"/>
          <w:sz w:val="22"/>
          <w:szCs w:val="22"/>
        </w:rPr>
        <w:t>031/2018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PROCESSO Nº </w:t>
      </w:r>
      <w:r w:rsidR="00D75DD1" w:rsidRPr="00287446">
        <w:rPr>
          <w:rFonts w:ascii="Verdana" w:hAnsi="Verdana" w:cs="Arial"/>
          <w:sz w:val="22"/>
          <w:szCs w:val="22"/>
        </w:rPr>
        <w:t>015/2018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>VALIDADE: 12 meses.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13C9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Aos </w:t>
      </w:r>
      <w:r w:rsidR="005F7C62" w:rsidRPr="00287446">
        <w:rPr>
          <w:rFonts w:ascii="Verdana" w:hAnsi="Verdana" w:cs="Arial"/>
          <w:sz w:val="22"/>
          <w:szCs w:val="22"/>
        </w:rPr>
        <w:t>15 (quinze)</w:t>
      </w:r>
      <w:r w:rsidRPr="00287446">
        <w:rPr>
          <w:rFonts w:ascii="Verdana" w:hAnsi="Verdana" w:cs="Arial"/>
          <w:sz w:val="22"/>
          <w:szCs w:val="22"/>
        </w:rPr>
        <w:t xml:space="preserve"> dias do mês de </w:t>
      </w:r>
      <w:r w:rsidR="005F7C62" w:rsidRPr="00287446">
        <w:rPr>
          <w:rFonts w:ascii="Verdana" w:hAnsi="Verdana" w:cs="Arial"/>
          <w:sz w:val="22"/>
          <w:szCs w:val="22"/>
        </w:rPr>
        <w:t xml:space="preserve">fevereiro </w:t>
      </w:r>
      <w:r w:rsidRPr="00287446">
        <w:rPr>
          <w:rFonts w:ascii="Verdana" w:hAnsi="Verdana" w:cs="Arial"/>
          <w:sz w:val="22"/>
          <w:szCs w:val="22"/>
        </w:rPr>
        <w:t xml:space="preserve">de </w:t>
      </w:r>
      <w:r w:rsidR="00892F8B" w:rsidRPr="00287446">
        <w:rPr>
          <w:rFonts w:ascii="Verdana" w:hAnsi="Verdana" w:cs="Arial"/>
          <w:sz w:val="22"/>
          <w:szCs w:val="22"/>
        </w:rPr>
        <w:t>2018</w:t>
      </w:r>
      <w:r w:rsidRPr="00287446">
        <w:rPr>
          <w:rFonts w:ascii="Verdana" w:hAnsi="Verdana" w:cs="Arial"/>
          <w:sz w:val="22"/>
          <w:szCs w:val="22"/>
        </w:rPr>
        <w:t xml:space="preserve">, na sala de licitações, na sede </w:t>
      </w:r>
      <w:r w:rsidRPr="00E13C9A">
        <w:rPr>
          <w:rFonts w:ascii="Verdana" w:hAnsi="Verdana" w:cs="Arial"/>
          <w:sz w:val="22"/>
          <w:szCs w:val="22"/>
        </w:rPr>
        <w:t xml:space="preserve">da Prefeitura Municipal, situada na </w:t>
      </w:r>
      <w:r w:rsidR="00201C92" w:rsidRPr="00E13C9A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13C9A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1C92" w:rsidRPr="00E13C9A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201C92" w:rsidRPr="00E13C9A">
        <w:rPr>
          <w:rFonts w:ascii="Verdana" w:hAnsi="Verdana" w:cs="Arial"/>
          <w:sz w:val="22"/>
          <w:szCs w:val="22"/>
        </w:rPr>
        <w:t>Filgueiras</w:t>
      </w:r>
      <w:proofErr w:type="spellEnd"/>
      <w:r w:rsidRPr="00E13C9A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75DD1" w:rsidRPr="00E13C9A">
        <w:rPr>
          <w:rFonts w:ascii="Verdana" w:hAnsi="Verdana" w:cs="Arial"/>
          <w:sz w:val="22"/>
          <w:szCs w:val="22"/>
        </w:rPr>
        <w:t>015/2018</w:t>
      </w:r>
      <w:r w:rsidRPr="00E13C9A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D75DD1" w:rsidRPr="00E13C9A">
        <w:rPr>
          <w:rFonts w:ascii="Verdana" w:hAnsi="Verdana" w:cs="Arial"/>
          <w:sz w:val="22"/>
          <w:szCs w:val="22"/>
        </w:rPr>
        <w:t>031/2018</w:t>
      </w:r>
      <w:r w:rsidRPr="00E13C9A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E13C9A" w:rsidRPr="00E13C9A">
        <w:rPr>
          <w:rFonts w:ascii="Verdana" w:hAnsi="Verdana" w:cs="Arial"/>
          <w:b/>
          <w:sz w:val="22"/>
          <w:szCs w:val="22"/>
        </w:rPr>
        <w:t>JOÃO FRANCISCO BRAULIO 32952953791</w:t>
      </w:r>
      <w:r w:rsidR="00E13C9A" w:rsidRPr="00E13C9A">
        <w:rPr>
          <w:rFonts w:ascii="Verdana" w:hAnsi="Verdana" w:cs="Arial"/>
          <w:sz w:val="22"/>
          <w:szCs w:val="22"/>
        </w:rPr>
        <w:t xml:space="preserve">, localizado na Rua Joaquim, nº. 618, Centro, Mateus Leme/MG, CEP 35.670-000, cujo CNPJ é 27.845.560/0001-01, neste ato representado por </w:t>
      </w:r>
      <w:proofErr w:type="spellStart"/>
      <w:r w:rsidR="00E13C9A" w:rsidRPr="00E13C9A">
        <w:rPr>
          <w:rFonts w:ascii="Verdana" w:hAnsi="Verdana" w:cs="Arial"/>
          <w:sz w:val="22"/>
          <w:szCs w:val="22"/>
        </w:rPr>
        <w:t>Heder</w:t>
      </w:r>
      <w:proofErr w:type="spellEnd"/>
      <w:r w:rsidR="00E13C9A" w:rsidRPr="00E13C9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E13C9A" w:rsidRPr="00E13C9A">
        <w:rPr>
          <w:rFonts w:ascii="Verdana" w:hAnsi="Verdana" w:cs="Arial"/>
          <w:sz w:val="22"/>
          <w:szCs w:val="22"/>
        </w:rPr>
        <w:t>Magil</w:t>
      </w:r>
      <w:proofErr w:type="spellEnd"/>
      <w:r w:rsidR="00E13C9A" w:rsidRPr="00E13C9A">
        <w:rPr>
          <w:rFonts w:ascii="Verdana" w:hAnsi="Verdana" w:cs="Arial"/>
          <w:sz w:val="22"/>
          <w:szCs w:val="22"/>
        </w:rPr>
        <w:t xml:space="preserve"> Teixeira Gonzaga, inscrito no CPF/MF sob o nº. 042.018.796-07, conforme quadro abaixo</w:t>
      </w:r>
      <w:r w:rsidRPr="00E13C9A">
        <w:rPr>
          <w:rFonts w:ascii="Verdana" w:hAnsi="Verdana" w:cs="Arial"/>
          <w:sz w:val="22"/>
          <w:szCs w:val="22"/>
        </w:rPr>
        <w:t>:</w:t>
      </w:r>
    </w:p>
    <w:p w:rsidR="003214FB" w:rsidRPr="00E13C9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396"/>
        <w:gridCol w:w="1048"/>
        <w:gridCol w:w="926"/>
        <w:gridCol w:w="1003"/>
        <w:gridCol w:w="1048"/>
        <w:gridCol w:w="1078"/>
        <w:gridCol w:w="1048"/>
        <w:gridCol w:w="1078"/>
      </w:tblGrid>
      <w:tr w:rsidR="003214FB" w:rsidRPr="005F7C62" w:rsidTr="00483441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ITEM</w:t>
            </w: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DESCRIÇÃO DO ITEM</w:t>
            </w:r>
          </w:p>
        </w:tc>
        <w:tc>
          <w:tcPr>
            <w:tcW w:w="72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QUANTIDADE/ VALOR</w:t>
            </w:r>
          </w:p>
        </w:tc>
      </w:tr>
      <w:tr w:rsidR="003214FB" w:rsidRPr="005F7C62" w:rsidTr="00483441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 a ser registrada e limite por adesão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Limite decorrente de adesões</w:t>
            </w:r>
          </w:p>
        </w:tc>
      </w:tr>
      <w:tr w:rsidR="003214FB" w:rsidRPr="005F7C62" w:rsidTr="00483441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Unitário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</w:tr>
      <w:tr w:rsidR="005F7C62" w:rsidRPr="005F7C62" w:rsidTr="00483441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02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90198D">
            <w:pPr>
              <w:shd w:val="clear" w:color="auto" w:fill="FFFFFF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Impressora</w:t>
            </w:r>
            <w:proofErr w:type="gram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 </w:t>
            </w:r>
            <w:proofErr w:type="gram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Multifuncional MFC-L6902DW é um equipamento laser durável, ideal para grupos de trabalho de médio porte, com altos volumes de impressão. Grande economia e baixo custo por página devido ao seu cartucho de toner de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ultra-rendimento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(20.000 páginas) incluso. Maximize a produtividade de seu grupo de trabalho com impressões </w:t>
            </w: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rápidas e velocidades de cópia até 52ppm (carta) e uma grande capacidade de papel de 520 folhas. Expansível para atender praticamente qualquer escritório, adicione bandejas opcionais para aumentar a capacidade para 2.650 folhas. Oferece recursos avançados de digitalização, incluindo vários destinos de digitalização e uma velocidade de digitalização monocromática rápida para ajudar a otimizar o seu fluxo de trabalho. Recursos avançados de segurança e leitor de cartão integrado.</w:t>
            </w:r>
          </w:p>
          <w:p w:rsidR="005F7C62" w:rsidRPr="005F7C62" w:rsidRDefault="005F7C62" w:rsidP="0090198D">
            <w:pPr>
              <w:shd w:val="clear" w:color="auto" w:fill="FFFFFF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</w:p>
          <w:p w:rsidR="005F7C62" w:rsidRPr="005F7C62" w:rsidRDefault="005F7C62" w:rsidP="0090198D">
            <w:pPr>
              <w:shd w:val="clear" w:color="auto" w:fill="FFFFFF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bCs/>
                <w:color w:val="000000" w:themeColor="text1"/>
                <w:sz w:val="14"/>
                <w:szCs w:val="14"/>
                <w:lang w:eastAsia="pt-BR"/>
              </w:rPr>
              <w:t>Principais Características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Impressão rápida 52/50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ppm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(carta/A4) para altos volumes de impressão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Baixo custo total de propriedade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Manuseio de papel expansível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Digitalização rápida em duplex (frente e verso)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Funções avançadas de segurança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Display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touchscreen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colorido de 5"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Rede Wireless integrada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Vidro de documentos tamanho ofício</w:t>
            </w:r>
          </w:p>
          <w:p w:rsidR="005F7C62" w:rsidRPr="005F7C62" w:rsidRDefault="005F7C62" w:rsidP="0090198D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 w:firstLine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Impressão/digitalização com seu dispositivo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bCs/>
                <w:color w:val="000000" w:themeColor="text1"/>
                <w:sz w:val="14"/>
                <w:szCs w:val="14"/>
                <w:lang w:eastAsia="pt-BR"/>
              </w:rPr>
              <w:t>Impressão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Cópias Múltiplas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Discagem Abreviada (n° de locais)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300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Acesso Remoto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Relatório de Atividades/Relatórios Periódicos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Impressão Colorida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Não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Funções Principais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Impressão, digitalização, cópia e fax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Cópia Duplex (Frente e Verso)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Tempo de Impressão da Primeira Página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7 segundos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Tecnologia de Impressão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Laser Eletrofotográfico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Memória Padrão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1 GB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Velocidade Máx. de Impressão em Preto (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ppm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52/50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ppm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(carta/A4)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Resolução da Impressão (máxima em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Até 1200 x 1200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da Bandeja de Papel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520 folhas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de Papel na Bandeja Opcional (folhas)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4 x 520 folhas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Bandeja Multiuso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50 folhas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de Impressão Duplex (Frente e Verso)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Interface de Rede Embutida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Wireless 802.11b/g/n, Gigabit Ethernet,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Hi-</w:t>
            </w: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Speed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USB 2.0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Compatibilidade com o Driver de Impressora†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Windows®, Mac OS®, Linux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Emulações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PCL6, BR-Script3‡, IBM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Proprinter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, Epson FX, PDF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Version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1.7, XPS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Version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1.0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Função de Impressão Segura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Volume Máximo de Ciclo Mensal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150.000 páginas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Volume de Impressão Mensal Recomendado‡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Até 10.000 páginas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Tamanho Máx. de Impressão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21,6 x 35,6 cm (ofício)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Aplicativo de Impressão para Dispositivos Móveis‡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AirPrint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™, Google Cloud Print™ 2.0, Brother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iPrint&amp;Scan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,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Mopria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®,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Cortado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 Workplace, Wi-Fi Direct® e NFC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TopoFax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Velocidade do Fax Modem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33,6 Kbps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Digitalização Rápida (Transmissão da Memória)y‡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Aproximadamente 2,5 segundos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Escala de Cinza do Fax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256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Método de Codificação do Fax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MH / MR / MMR / JBIG / JPEG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PC Fax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de PC-Fax (envio/recepção)†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Memória das Páginas de Fax‡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Até 500 páginas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Duplex </w:t>
            </w: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Automático para Fax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TopoCópia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Resolução de Cópia (máxima)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Até 1200 x 600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Copia sem uso do PC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Máx. do Alimentador Automático de Documentos (ADF)‡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80 folhas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Velocidade da Cópia em Preto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52/50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ppm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(carta/A4)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Redução/Ampliação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25% ~ 400%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Função de Cópias Ordenadas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Tamanho do Vidro de Documentos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Ofício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Cópia Duplex (Frente e Verso)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Cópias de ID (Documentos de Identidade)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TopoDigitalização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ADF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Scan Drivers Included ‡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TWAIN, WIA, ICA, ISIS, SANE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Resolução de Digitalização Interpolada (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Até 19200 x 19200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Resolução de Digitalização Óptica (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1200 x 1200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dpi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Formatos (Exportação)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JPEG, PDF Single-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page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/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Multi-page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(PDF seguro, PDF pesquisável, PDF/A), TIFF Single-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page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/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Multi-page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, TXT, BMP, DOCX, XML, PPTX, XPS, PNG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lastRenderedPageBreak/>
              <w:t>Digitaliza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para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E-mail,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Imagem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, OCR, File, FTP, USB, Network Folder (CIFS - Windows® only), E-mail Server, SharePoint®, SSH Server (SFTP), Cloud (Web Connect)‡, Easy Scan to Email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Digitalização Duplex (Frente e Verso)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TopoOutros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Dimensões do Equipamento sem caixa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49,5 x 42,7 x 51,8 cm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Web Connect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GOOGLE DRIVE™/GOOGLE DRIVE for Business, EVERNOTE®/EVERNOTE Business, ONEDRIVE®/ONEDRIVE for Business, ONENOTE®, DROPBOX/DROPBOX for Business, Google Apps for Business™, BOX/BOX for Business, FACEBOOK™, FLICKR®, and PICASA Web Albums™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Velocidade da CPU (Processador)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800 MHz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Modo de Economia de Toner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Capacidade de Saída do Papel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250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folhas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Funções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 xml:space="preserve"> de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Segurança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val="en-US" w:eastAsia="pt-BR"/>
              </w:rPr>
              <w:t>Integrated NFC Card Reader, Active Directory®, Secure Function Lock, Lock Slot, Secure Print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Garantia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Limitada de 2 anos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Fonte de Alimentação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AC 120V </w:t>
            </w: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lastRenderedPageBreak/>
              <w:t>50/60Hz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Certificação Energy Star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Dimensões da Caixa de Embalagem (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LxPxA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cm)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59,9 x 52,6 x 76,2 cm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Peso da Caixa de Embalagem (kg)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23,5 kg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Tela LCD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Touchscreen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colorido de 5"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Wi-Fi CERTIFIED™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 (802.11b/g/n)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TopoManuseio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do Papel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Tamanhos do Papel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21,6 x 35,6 cm (ofício)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Voltar ao </w:t>
            </w: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TopoConteúdo</w:t>
            </w:r>
            <w:proofErr w:type="spellEnd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 xml:space="preserve"> da Caixa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Suprimento preto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TN-3492 Rendimento (20.000 páginas)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Guia de Configuração Rápida e Manual do Usuário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Sim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Equipamento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MFC-L6902DW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Conjunto de Cilindros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DR-3440 (50.000 páginas)</w:t>
            </w:r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</w:pPr>
            <w:proofErr w:type="spellStart"/>
            <w:r w:rsidRPr="005F7C62">
              <w:rPr>
                <w:rFonts w:ascii="Verdana" w:hAnsi="Verdana" w:cs="Arial"/>
                <w:color w:val="000000" w:themeColor="text1"/>
                <w:sz w:val="14"/>
                <w:szCs w:val="14"/>
                <w:lang w:eastAsia="pt-BR"/>
              </w:rPr>
              <w:t>CD-Rom</w:t>
            </w:r>
            <w:proofErr w:type="spellEnd"/>
          </w:p>
          <w:p w:rsidR="005F7C62" w:rsidRPr="005F7C62" w:rsidRDefault="005F7C62" w:rsidP="0090198D">
            <w:pPr>
              <w:pStyle w:val="PargrafodaLista"/>
              <w:shd w:val="clear" w:color="auto" w:fill="FFFFFF"/>
              <w:spacing w:before="225"/>
              <w:ind w:left="0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5F7C62" w:rsidP="005F7C62">
            <w:pPr>
              <w:snapToGrid w:val="0"/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</w:pPr>
            <w:r w:rsidRPr="005F7C62"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EE77A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="00EE77A9">
              <w:rPr>
                <w:rFonts w:ascii="Verdana" w:hAnsi="Verdana" w:cs="Arial"/>
                <w:sz w:val="14"/>
                <w:szCs w:val="14"/>
              </w:rPr>
              <w:t>t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62.800,00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62.800,00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65F1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314.000,00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</w:t>
      </w:r>
      <w:r w:rsidRPr="00E2158B">
        <w:rPr>
          <w:rFonts w:ascii="Verdana" w:hAnsi="Verdana" w:cs="Arial"/>
          <w:sz w:val="22"/>
          <w:szCs w:val="22"/>
        </w:rPr>
        <w:lastRenderedPageBreak/>
        <w:t>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</w:t>
      </w:r>
      <w:r w:rsidRPr="00E2158B">
        <w:rPr>
          <w:rFonts w:ascii="Verdana" w:hAnsi="Verdana"/>
          <w:sz w:val="22"/>
          <w:szCs w:val="22"/>
        </w:rPr>
        <w:lastRenderedPageBreak/>
        <w:t>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Papagaios, 15 de fevereiro de 2018.</w:t>
      </w:r>
    </w:p>
    <w:p w:rsidR="00287446" w:rsidRPr="00D40EDE" w:rsidRDefault="00287446" w:rsidP="002874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D40ED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706B3A" w:rsidRPr="00706B3A" w:rsidRDefault="00706B3A" w:rsidP="00706B3A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706B3A">
        <w:rPr>
          <w:rFonts w:ascii="Verdana" w:hAnsi="Verdana" w:cs="Arial"/>
          <w:sz w:val="22"/>
          <w:szCs w:val="22"/>
        </w:rPr>
        <w:t xml:space="preserve">João Francisco </w:t>
      </w:r>
      <w:proofErr w:type="spellStart"/>
      <w:r w:rsidRPr="00706B3A">
        <w:rPr>
          <w:rFonts w:ascii="Verdana" w:hAnsi="Verdana" w:cs="Arial"/>
          <w:sz w:val="22"/>
          <w:szCs w:val="22"/>
        </w:rPr>
        <w:t>Braulio</w:t>
      </w:r>
      <w:proofErr w:type="spellEnd"/>
      <w:r w:rsidRPr="00706B3A">
        <w:rPr>
          <w:rFonts w:ascii="Verdana" w:hAnsi="Verdana" w:cs="Arial"/>
          <w:sz w:val="22"/>
          <w:szCs w:val="22"/>
        </w:rPr>
        <w:t xml:space="preserve"> 32952953791</w:t>
      </w:r>
    </w:p>
    <w:p w:rsidR="003214FB" w:rsidRPr="00D40EDE" w:rsidRDefault="00706B3A" w:rsidP="00706B3A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E13C9A">
        <w:rPr>
          <w:rFonts w:ascii="Verdana" w:hAnsi="Verdana" w:cs="Arial"/>
          <w:sz w:val="22"/>
          <w:szCs w:val="22"/>
        </w:rPr>
        <w:t>CNPJ</w:t>
      </w:r>
      <w:r>
        <w:rPr>
          <w:rFonts w:ascii="Verdana" w:hAnsi="Verdana" w:cs="Arial"/>
          <w:sz w:val="22"/>
          <w:szCs w:val="22"/>
        </w:rPr>
        <w:t>/MF</w:t>
      </w:r>
      <w:r w:rsidRPr="00E13C9A">
        <w:rPr>
          <w:rFonts w:ascii="Verdana" w:hAnsi="Verdana" w:cs="Arial"/>
          <w:sz w:val="22"/>
          <w:szCs w:val="22"/>
        </w:rPr>
        <w:t xml:space="preserve"> 27.845.560/0001-01</w:t>
      </w:r>
    </w:p>
    <w:sectPr w:rsidR="003214FB" w:rsidRPr="00D40EDE" w:rsidSect="00320A16">
      <w:headerReference w:type="default" r:id="rId8"/>
      <w:footerReference w:type="default" r:id="rId9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4" w:rsidRDefault="008835B4" w:rsidP="00E00126">
      <w:r>
        <w:separator/>
      </w:r>
    </w:p>
  </w:endnote>
  <w:endnote w:type="continuationSeparator" w:id="0">
    <w:p w:rsidR="008835B4" w:rsidRDefault="008835B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B4" w:rsidRPr="00320A16" w:rsidRDefault="008835B4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4" w:rsidRDefault="008835B4" w:rsidP="00E00126">
      <w:r>
        <w:separator/>
      </w:r>
    </w:p>
  </w:footnote>
  <w:footnote w:type="continuationSeparator" w:id="0">
    <w:p w:rsidR="008835B4" w:rsidRDefault="008835B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835B4" w:rsidTr="00E33182">
      <w:trPr>
        <w:trHeight w:val="781"/>
      </w:trPr>
      <w:tc>
        <w:tcPr>
          <w:tcW w:w="2127" w:type="dxa"/>
          <w:vMerge w:val="restart"/>
          <w:vAlign w:val="center"/>
        </w:tcPr>
        <w:p w:rsidR="008835B4" w:rsidRDefault="008835B4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835B4" w:rsidRPr="000015CB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835B4" w:rsidTr="000015CB">
      <w:trPr>
        <w:trHeight w:val="785"/>
      </w:trPr>
      <w:tc>
        <w:tcPr>
          <w:tcW w:w="2127" w:type="dxa"/>
          <w:vMerge/>
        </w:tcPr>
        <w:p w:rsidR="008835B4" w:rsidRDefault="008835B4">
          <w:pPr>
            <w:pStyle w:val="Cabealho"/>
          </w:pPr>
        </w:p>
      </w:tc>
      <w:tc>
        <w:tcPr>
          <w:tcW w:w="8930" w:type="dxa"/>
        </w:tcPr>
        <w:p w:rsidR="008835B4" w:rsidRPr="002936D7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835B4" w:rsidRDefault="008835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A15DA"/>
    <w:rsid w:val="000F2E3E"/>
    <w:rsid w:val="001C236C"/>
    <w:rsid w:val="001D244A"/>
    <w:rsid w:val="00201C92"/>
    <w:rsid w:val="002431AA"/>
    <w:rsid w:val="0027735F"/>
    <w:rsid w:val="00277514"/>
    <w:rsid w:val="00287446"/>
    <w:rsid w:val="00287689"/>
    <w:rsid w:val="002936D7"/>
    <w:rsid w:val="002F4241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7781A"/>
    <w:rsid w:val="00483441"/>
    <w:rsid w:val="004F6027"/>
    <w:rsid w:val="00513AE8"/>
    <w:rsid w:val="005320BA"/>
    <w:rsid w:val="00580C35"/>
    <w:rsid w:val="005F7C62"/>
    <w:rsid w:val="00647F9B"/>
    <w:rsid w:val="006A4CAB"/>
    <w:rsid w:val="006B3C89"/>
    <w:rsid w:val="006E4F98"/>
    <w:rsid w:val="006E7555"/>
    <w:rsid w:val="007020E9"/>
    <w:rsid w:val="00706B3A"/>
    <w:rsid w:val="00710506"/>
    <w:rsid w:val="007B099B"/>
    <w:rsid w:val="007B2225"/>
    <w:rsid w:val="007E1E17"/>
    <w:rsid w:val="007F586D"/>
    <w:rsid w:val="00834053"/>
    <w:rsid w:val="0083515E"/>
    <w:rsid w:val="00861C73"/>
    <w:rsid w:val="008835B4"/>
    <w:rsid w:val="00892F8B"/>
    <w:rsid w:val="008A51F1"/>
    <w:rsid w:val="008B5F41"/>
    <w:rsid w:val="008D0A2B"/>
    <w:rsid w:val="0090198D"/>
    <w:rsid w:val="0097482B"/>
    <w:rsid w:val="009C7BE7"/>
    <w:rsid w:val="009E6215"/>
    <w:rsid w:val="00A43F8E"/>
    <w:rsid w:val="00A50A15"/>
    <w:rsid w:val="00A65F12"/>
    <w:rsid w:val="00A71783"/>
    <w:rsid w:val="00AB4166"/>
    <w:rsid w:val="00B23595"/>
    <w:rsid w:val="00B45296"/>
    <w:rsid w:val="00B53D45"/>
    <w:rsid w:val="00BE777A"/>
    <w:rsid w:val="00C07112"/>
    <w:rsid w:val="00C828B3"/>
    <w:rsid w:val="00D40EDE"/>
    <w:rsid w:val="00D75DD1"/>
    <w:rsid w:val="00E00126"/>
    <w:rsid w:val="00E13C9A"/>
    <w:rsid w:val="00E2158B"/>
    <w:rsid w:val="00E33182"/>
    <w:rsid w:val="00E512AF"/>
    <w:rsid w:val="00E672E4"/>
    <w:rsid w:val="00EE77A9"/>
    <w:rsid w:val="00F77E2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2653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JULIANA LICITAÇÃO</cp:lastModifiedBy>
  <cp:revision>16</cp:revision>
  <cp:lastPrinted>2018-01-31T18:08:00Z</cp:lastPrinted>
  <dcterms:created xsi:type="dcterms:W3CDTF">2018-02-23T11:43:00Z</dcterms:created>
  <dcterms:modified xsi:type="dcterms:W3CDTF">2018-03-13T12:43:00Z</dcterms:modified>
</cp:coreProperties>
</file>