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8A2219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8A2219">
        <w:rPr>
          <w:rFonts w:ascii="Verdana" w:hAnsi="Verdana"/>
          <w:b/>
          <w:sz w:val="21"/>
          <w:szCs w:val="21"/>
        </w:rPr>
        <w:t xml:space="preserve">PROCESSO LICITATÓRIO Nº </w:t>
      </w:r>
      <w:r w:rsidR="00D520F1" w:rsidRPr="008A2219">
        <w:rPr>
          <w:rFonts w:ascii="Verdana" w:hAnsi="Verdana"/>
          <w:b/>
          <w:sz w:val="21"/>
          <w:szCs w:val="21"/>
        </w:rPr>
        <w:t>127/2018</w:t>
      </w:r>
    </w:p>
    <w:p w:rsidR="003214FB" w:rsidRPr="008A2219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D520F1" w:rsidRPr="008A2219">
        <w:rPr>
          <w:rFonts w:ascii="Verdana" w:hAnsi="Verdana" w:cs="Arial"/>
          <w:b/>
          <w:sz w:val="21"/>
          <w:szCs w:val="21"/>
        </w:rPr>
        <w:t>071/2018</w:t>
      </w:r>
    </w:p>
    <w:p w:rsidR="003214FB" w:rsidRPr="008A2219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ATA DE REGISTRO DE PREÇOS Nº </w:t>
      </w:r>
      <w:r w:rsidR="009D4EF2" w:rsidRPr="008A2219">
        <w:rPr>
          <w:rFonts w:ascii="Verdana" w:hAnsi="Verdana" w:cs="Arial"/>
          <w:sz w:val="21"/>
          <w:szCs w:val="21"/>
        </w:rPr>
        <w:t>055</w:t>
      </w:r>
      <w:r w:rsidR="00D75DD1" w:rsidRPr="008A2219">
        <w:rPr>
          <w:rFonts w:ascii="Verdana" w:hAnsi="Verdana" w:cs="Arial"/>
          <w:sz w:val="21"/>
          <w:szCs w:val="21"/>
        </w:rPr>
        <w:t>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PREGÃO Nº </w:t>
      </w:r>
      <w:r w:rsidR="00D520F1" w:rsidRPr="008A2219">
        <w:rPr>
          <w:rFonts w:ascii="Verdana" w:hAnsi="Verdana" w:cs="Arial"/>
          <w:sz w:val="21"/>
          <w:szCs w:val="21"/>
        </w:rPr>
        <w:t>127/2018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PROCESSO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VALIDADE: 12 meses.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Aos </w:t>
      </w:r>
      <w:r w:rsidR="00444043" w:rsidRPr="008A2219">
        <w:rPr>
          <w:rFonts w:ascii="Verdana" w:hAnsi="Verdana" w:cs="Arial"/>
          <w:sz w:val="21"/>
          <w:szCs w:val="21"/>
        </w:rPr>
        <w:t xml:space="preserve">07 (sete) </w:t>
      </w:r>
      <w:r w:rsidRPr="008A2219">
        <w:rPr>
          <w:rFonts w:ascii="Verdana" w:hAnsi="Verdana" w:cs="Arial"/>
          <w:sz w:val="21"/>
          <w:szCs w:val="21"/>
        </w:rPr>
        <w:t xml:space="preserve">dias do mês de </w:t>
      </w:r>
      <w:r w:rsidR="00444043" w:rsidRPr="008A2219">
        <w:rPr>
          <w:rFonts w:ascii="Verdana" w:hAnsi="Verdana" w:cs="Arial"/>
          <w:sz w:val="21"/>
          <w:szCs w:val="21"/>
        </w:rPr>
        <w:t>novembro</w:t>
      </w:r>
      <w:r w:rsidRPr="008A2219">
        <w:rPr>
          <w:rFonts w:ascii="Verdana" w:hAnsi="Verdana" w:cs="Arial"/>
          <w:sz w:val="21"/>
          <w:szCs w:val="21"/>
        </w:rPr>
        <w:t xml:space="preserve"> de </w:t>
      </w:r>
      <w:r w:rsidR="00892F8B" w:rsidRPr="008A2219">
        <w:rPr>
          <w:rFonts w:ascii="Verdana" w:hAnsi="Verdana" w:cs="Arial"/>
          <w:sz w:val="21"/>
          <w:szCs w:val="21"/>
        </w:rPr>
        <w:t>2018</w:t>
      </w:r>
      <w:r w:rsidRPr="008A2219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444043" w:rsidRPr="008A2219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8A2219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444043" w:rsidRPr="008A2219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444043" w:rsidRPr="008A2219">
        <w:rPr>
          <w:rFonts w:ascii="Verdana" w:hAnsi="Verdana" w:cs="Arial"/>
          <w:sz w:val="21"/>
          <w:szCs w:val="21"/>
        </w:rPr>
        <w:t>Filgueiras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D520F1" w:rsidRPr="008A2219">
        <w:rPr>
          <w:rFonts w:ascii="Verdana" w:hAnsi="Verdana" w:cs="Arial"/>
          <w:sz w:val="21"/>
          <w:szCs w:val="21"/>
        </w:rPr>
        <w:t>127/2018</w:t>
      </w:r>
      <w:r w:rsidRPr="008A2219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6826FC">
        <w:rPr>
          <w:rFonts w:ascii="Verdana" w:hAnsi="Verdana" w:cs="Arial"/>
          <w:b/>
          <w:sz w:val="21"/>
          <w:szCs w:val="21"/>
        </w:rPr>
        <w:t>ARJ INFORMÁTICA E ACESSÓRIOS EIRELI ME</w:t>
      </w:r>
      <w:r w:rsidRPr="008A2219">
        <w:rPr>
          <w:rFonts w:ascii="Verdana" w:hAnsi="Verdana" w:cs="Arial"/>
          <w:sz w:val="21"/>
          <w:szCs w:val="21"/>
        </w:rPr>
        <w:t xml:space="preserve">, localizado na </w:t>
      </w:r>
      <w:r w:rsidR="006826FC">
        <w:rPr>
          <w:rFonts w:ascii="Verdana" w:hAnsi="Verdana" w:cs="Arial"/>
          <w:sz w:val="21"/>
          <w:szCs w:val="21"/>
        </w:rPr>
        <w:t>Rua Nova Serrana, nº. 31, bairro Nossa Senhora de Lourdes, Pará de Minas/MG, CEP 35.660-178</w:t>
      </w:r>
      <w:r w:rsidRPr="008A2219">
        <w:rPr>
          <w:rFonts w:ascii="Verdana" w:hAnsi="Verdana" w:cs="Arial"/>
          <w:sz w:val="21"/>
          <w:szCs w:val="21"/>
        </w:rPr>
        <w:t xml:space="preserve">, cujo CNPJ é </w:t>
      </w:r>
      <w:r w:rsidR="00546CB0">
        <w:rPr>
          <w:rFonts w:ascii="Verdana" w:hAnsi="Verdana" w:cs="Arial"/>
          <w:sz w:val="21"/>
          <w:szCs w:val="21"/>
        </w:rPr>
        <w:t>27.379.480/0001-08</w:t>
      </w:r>
      <w:bookmarkStart w:id="0" w:name="_GoBack"/>
      <w:bookmarkEnd w:id="0"/>
      <w:r w:rsidRPr="008A2219">
        <w:rPr>
          <w:rFonts w:ascii="Verdana" w:hAnsi="Verdana" w:cs="Arial"/>
          <w:sz w:val="21"/>
          <w:szCs w:val="21"/>
        </w:rPr>
        <w:t xml:space="preserve">neste ato representado por </w:t>
      </w:r>
      <w:r w:rsidR="006826FC">
        <w:rPr>
          <w:rFonts w:ascii="Verdana" w:hAnsi="Verdana" w:cs="Arial"/>
          <w:sz w:val="21"/>
          <w:szCs w:val="21"/>
        </w:rPr>
        <w:t>João Paulo Faria</w:t>
      </w:r>
      <w:r w:rsidR="003B15F8" w:rsidRPr="008A2219">
        <w:rPr>
          <w:rFonts w:ascii="Verdana" w:hAnsi="Verdana" w:cs="Arial"/>
          <w:sz w:val="21"/>
          <w:szCs w:val="21"/>
        </w:rPr>
        <w:t xml:space="preserve">, inscrito no CPF/MF sob o nº. </w:t>
      </w:r>
      <w:r w:rsidR="006826FC">
        <w:rPr>
          <w:rFonts w:ascii="Verdana" w:hAnsi="Verdana" w:cs="Arial"/>
          <w:sz w:val="21"/>
          <w:szCs w:val="21"/>
        </w:rPr>
        <w:t>057.015.316-60</w:t>
      </w:r>
      <w:r w:rsidRPr="008A2219">
        <w:rPr>
          <w:rFonts w:ascii="Verdana" w:hAnsi="Verdana" w:cs="Arial"/>
          <w:sz w:val="21"/>
          <w:szCs w:val="21"/>
        </w:rPr>
        <w:t>, conforme quadro abaixo:</w:t>
      </w:r>
    </w:p>
    <w:p w:rsidR="003214FB" w:rsidRPr="008A2219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635"/>
        <w:gridCol w:w="833"/>
        <w:gridCol w:w="1323"/>
        <w:gridCol w:w="1000"/>
        <w:gridCol w:w="905"/>
        <w:gridCol w:w="986"/>
        <w:gridCol w:w="905"/>
        <w:gridCol w:w="1012"/>
      </w:tblGrid>
      <w:tr w:rsidR="00371D94" w:rsidRPr="00371D94" w:rsidTr="00397420">
        <w:trPr>
          <w:trHeight w:val="20"/>
        </w:trPr>
        <w:tc>
          <w:tcPr>
            <w:tcW w:w="518" w:type="dxa"/>
            <w:vMerge w:val="restart"/>
            <w:shd w:val="clear" w:color="auto" w:fill="auto"/>
            <w:vAlign w:val="center"/>
            <w:hideMark/>
          </w:tcPr>
          <w:p w:rsidR="00371D94" w:rsidRPr="00371D94" w:rsidRDefault="00371D94" w:rsidP="00371D94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7097" w:type="dxa"/>
            <w:gridSpan w:val="7"/>
            <w:shd w:val="clear" w:color="auto" w:fill="auto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QUANTIDADE/ VALOR</w:t>
            </w:r>
          </w:p>
        </w:tc>
      </w:tr>
      <w:tr w:rsidR="00371D94" w:rsidRPr="00371D94" w:rsidTr="00397420">
        <w:trPr>
          <w:trHeight w:val="20"/>
        </w:trPr>
        <w:tc>
          <w:tcPr>
            <w:tcW w:w="518" w:type="dxa"/>
            <w:vMerge/>
            <w:vAlign w:val="center"/>
            <w:hideMark/>
          </w:tcPr>
          <w:p w:rsidR="00371D94" w:rsidRPr="00371D94" w:rsidRDefault="00371D94" w:rsidP="00371D94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371D94" w:rsidRPr="00371D94" w:rsidRDefault="00371D94" w:rsidP="00371D94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3198" w:type="dxa"/>
            <w:gridSpan w:val="3"/>
            <w:shd w:val="clear" w:color="000000" w:fill="BFBFBF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1941" w:type="dxa"/>
            <w:gridSpan w:val="2"/>
            <w:shd w:val="clear" w:color="000000" w:fill="BFBFBF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1958" w:type="dxa"/>
            <w:gridSpan w:val="2"/>
            <w:shd w:val="clear" w:color="000000" w:fill="BFBFBF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371D94" w:rsidRPr="00371D94" w:rsidTr="00397420">
        <w:trPr>
          <w:trHeight w:val="170"/>
        </w:trPr>
        <w:tc>
          <w:tcPr>
            <w:tcW w:w="518" w:type="dxa"/>
            <w:vMerge/>
            <w:vAlign w:val="center"/>
            <w:hideMark/>
          </w:tcPr>
          <w:p w:rsidR="00371D94" w:rsidRPr="00371D94" w:rsidRDefault="00371D94" w:rsidP="00371D94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371D94" w:rsidRPr="00371D94" w:rsidRDefault="00371D94" w:rsidP="00371D94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41" w:type="dxa"/>
            <w:vMerge w:val="restart"/>
            <w:shd w:val="clear" w:color="000000" w:fill="D9D9D9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1323" w:type="dxa"/>
            <w:vMerge w:val="restart"/>
            <w:shd w:val="clear" w:color="000000" w:fill="D9D9D9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1034" w:type="dxa"/>
            <w:vMerge w:val="restart"/>
            <w:shd w:val="clear" w:color="000000" w:fill="D9D9D9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23" w:type="dxa"/>
            <w:vMerge w:val="restart"/>
            <w:shd w:val="clear" w:color="000000" w:fill="D9D9D9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18" w:type="dxa"/>
            <w:vMerge w:val="restart"/>
            <w:shd w:val="clear" w:color="000000" w:fill="D9D9D9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23" w:type="dxa"/>
            <w:vMerge w:val="restart"/>
            <w:shd w:val="clear" w:color="000000" w:fill="D9D9D9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35" w:type="dxa"/>
            <w:vMerge w:val="restart"/>
            <w:shd w:val="clear" w:color="000000" w:fill="D9D9D9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</w:tr>
      <w:tr w:rsidR="00371D94" w:rsidRPr="00371D94" w:rsidTr="00397420">
        <w:trPr>
          <w:trHeight w:val="170"/>
        </w:trPr>
        <w:tc>
          <w:tcPr>
            <w:tcW w:w="518" w:type="dxa"/>
            <w:vMerge/>
            <w:vAlign w:val="center"/>
            <w:hideMark/>
          </w:tcPr>
          <w:p w:rsidR="00371D94" w:rsidRPr="00371D94" w:rsidRDefault="00371D94" w:rsidP="00371D94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371D94" w:rsidRPr="00371D94" w:rsidRDefault="00371D94" w:rsidP="00371D94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:rsidR="00371D94" w:rsidRPr="00371D94" w:rsidRDefault="00371D94" w:rsidP="00371D94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371D94" w:rsidRPr="00371D94" w:rsidRDefault="00371D94" w:rsidP="00371D94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:rsidR="00371D94" w:rsidRPr="00371D94" w:rsidRDefault="00371D94" w:rsidP="00371D94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371D94" w:rsidRPr="00371D94" w:rsidRDefault="00371D94" w:rsidP="00371D94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18" w:type="dxa"/>
            <w:vMerge/>
            <w:vAlign w:val="center"/>
            <w:hideMark/>
          </w:tcPr>
          <w:p w:rsidR="00371D94" w:rsidRPr="00371D94" w:rsidRDefault="00371D94" w:rsidP="00371D94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371D94" w:rsidRPr="00371D94" w:rsidRDefault="00371D94" w:rsidP="00371D94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371D94" w:rsidRPr="00371D94" w:rsidRDefault="00371D94" w:rsidP="00371D94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</w:tr>
      <w:tr w:rsidR="00371D94" w:rsidRPr="00371D94" w:rsidTr="00397420">
        <w:trPr>
          <w:trHeight w:val="20"/>
        </w:trPr>
        <w:tc>
          <w:tcPr>
            <w:tcW w:w="518" w:type="dxa"/>
            <w:shd w:val="clear" w:color="auto" w:fill="auto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APARELHO DE TELEFONE FIXO COM FIO, COM AS ESPECIFICAÇÕES: MODOS DE DISCAGEM TOM E PULSO; MODO: POSSUI TIPOS DE CAMPAINHA EM 3 VOLUMES (ALTO, MÉDIO E BAIXO) COM 2 TIMBRES, TECLADO COM 15 TECLAS SENDO 12 TECLAS NUMÉRICAS E 3 TECLAS DE FUNÇÕES (FLASH, MUTE, REDISCAR); GARANTIA DO FORNECEDOR: 12 MESES.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39,50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1.185,00</w:t>
            </w:r>
          </w:p>
        </w:tc>
        <w:tc>
          <w:tcPr>
            <w:tcW w:w="923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1.185,00</w:t>
            </w:r>
          </w:p>
        </w:tc>
        <w:tc>
          <w:tcPr>
            <w:tcW w:w="923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5.925,00</w:t>
            </w:r>
          </w:p>
        </w:tc>
      </w:tr>
      <w:tr w:rsidR="00371D94" w:rsidRPr="00371D94" w:rsidTr="00397420">
        <w:trPr>
          <w:trHeight w:val="20"/>
        </w:trPr>
        <w:tc>
          <w:tcPr>
            <w:tcW w:w="518" w:type="dxa"/>
            <w:shd w:val="clear" w:color="auto" w:fill="auto"/>
            <w:noWrap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CABO USB 2.0 AM X BM 1,8M PARA IMPRESSORAS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4,75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237,50</w:t>
            </w:r>
          </w:p>
        </w:tc>
        <w:tc>
          <w:tcPr>
            <w:tcW w:w="923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237,50</w:t>
            </w:r>
          </w:p>
        </w:tc>
        <w:tc>
          <w:tcPr>
            <w:tcW w:w="923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1.187,50</w:t>
            </w:r>
          </w:p>
        </w:tc>
      </w:tr>
      <w:tr w:rsidR="00371D94" w:rsidRPr="00371D94" w:rsidTr="00397420">
        <w:trPr>
          <w:trHeight w:val="20"/>
        </w:trPr>
        <w:tc>
          <w:tcPr>
            <w:tcW w:w="518" w:type="dxa"/>
            <w:shd w:val="clear" w:color="auto" w:fill="auto"/>
            <w:noWrap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FILTRO DE LINHA BIVOLT COM FUSÍVEL DE SEGURANÇA. 6 TOMADAS PADRÃO NBR14136 COM SAÍDA PADRÃO NBR14136 -  </w:t>
            </w: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CORRENTE MÁXIMA 10A. EXTENSÃO DO CABO 0,8 M. BOTÃO LIGA/DESLIGA COM LED INDICADOR - GARANTIA MÍNIMA DE 1 ANO.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50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21,90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1.095,00</w:t>
            </w:r>
          </w:p>
        </w:tc>
        <w:tc>
          <w:tcPr>
            <w:tcW w:w="923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1.095,00</w:t>
            </w:r>
          </w:p>
        </w:tc>
        <w:tc>
          <w:tcPr>
            <w:tcW w:w="923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5.475,00</w:t>
            </w:r>
          </w:p>
        </w:tc>
      </w:tr>
      <w:tr w:rsidR="00371D94" w:rsidRPr="00371D94" w:rsidTr="00397420">
        <w:trPr>
          <w:trHeight w:val="20"/>
        </w:trPr>
        <w:tc>
          <w:tcPr>
            <w:tcW w:w="518" w:type="dxa"/>
            <w:shd w:val="clear" w:color="auto" w:fill="auto"/>
            <w:noWrap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19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FONTE ATX; BIVOLT MANUAL COM CHAVE SELETORA; PINAGEM: 1 ALIMENTAÇÃO 20/24 PINOS; 1 AUXILIAR ATX; 1 ALIMENTAÇÃO DRIVE 1.44; 2 SERIAL ATA OU MAIS; 2 IDE; 1 CONECTOR PCI EXPRESS COM 4 PINOS; POTÊNCIA REAL 250W, NO MÍNIMO; CABO DE ENERGIA INCLUSO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37,90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3.790,00</w:t>
            </w:r>
          </w:p>
        </w:tc>
        <w:tc>
          <w:tcPr>
            <w:tcW w:w="923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3.790,00</w:t>
            </w:r>
          </w:p>
        </w:tc>
        <w:tc>
          <w:tcPr>
            <w:tcW w:w="923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18.950,00</w:t>
            </w:r>
          </w:p>
        </w:tc>
      </w:tr>
      <w:tr w:rsidR="00371D94" w:rsidRPr="00371D94" w:rsidTr="00397420">
        <w:trPr>
          <w:trHeight w:val="20"/>
        </w:trPr>
        <w:tc>
          <w:tcPr>
            <w:tcW w:w="518" w:type="dxa"/>
            <w:shd w:val="clear" w:color="auto" w:fill="auto"/>
            <w:noWrap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HD EXTERNO 2,5" CAPACIDADE: 2 TERABYTE - INTERFACE: USB 2.0 / 3.0 - VELOCIDADE: 5.400 RPM, NO MÍNIMO. BUFFER: 8 MB, NO MÍNIMO. AVERAGE SEEK TIME (TEMPO DE BUSCA): 10 MS OU MENOR. INCLUSO: CABO USB 3.0 E MANUAL - GARANTIA MÍNIMA DE 1 ANO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388,00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3.880,00</w:t>
            </w:r>
          </w:p>
        </w:tc>
        <w:tc>
          <w:tcPr>
            <w:tcW w:w="923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3.880,00</w:t>
            </w:r>
          </w:p>
        </w:tc>
        <w:tc>
          <w:tcPr>
            <w:tcW w:w="923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19.400,00</w:t>
            </w:r>
          </w:p>
        </w:tc>
      </w:tr>
      <w:tr w:rsidR="00371D94" w:rsidRPr="00371D94" w:rsidTr="00397420">
        <w:trPr>
          <w:trHeight w:val="20"/>
        </w:trPr>
        <w:tc>
          <w:tcPr>
            <w:tcW w:w="518" w:type="dxa"/>
            <w:shd w:val="clear" w:color="auto" w:fill="auto"/>
            <w:noWrap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val="en-US"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val="en-US" w:eastAsia="pt-BR"/>
              </w:rPr>
              <w:t>MOUSE ÓPTICO USB C/ SCROLL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6,40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640,00</w:t>
            </w:r>
          </w:p>
        </w:tc>
        <w:tc>
          <w:tcPr>
            <w:tcW w:w="923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640,00</w:t>
            </w:r>
          </w:p>
        </w:tc>
        <w:tc>
          <w:tcPr>
            <w:tcW w:w="923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3.200,00</w:t>
            </w:r>
          </w:p>
        </w:tc>
      </w:tr>
      <w:tr w:rsidR="00371D94" w:rsidRPr="00371D94" w:rsidTr="00397420">
        <w:trPr>
          <w:trHeight w:val="20"/>
        </w:trPr>
        <w:tc>
          <w:tcPr>
            <w:tcW w:w="518" w:type="dxa"/>
            <w:shd w:val="clear" w:color="auto" w:fill="auto"/>
            <w:noWrap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PEN DRIVE COM NO MÍNIMO 8G DE MEMÓRIA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80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19,90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1.592,00</w:t>
            </w:r>
          </w:p>
        </w:tc>
        <w:tc>
          <w:tcPr>
            <w:tcW w:w="923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80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1.592,00</w:t>
            </w:r>
          </w:p>
        </w:tc>
        <w:tc>
          <w:tcPr>
            <w:tcW w:w="923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400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7.960,00</w:t>
            </w:r>
          </w:p>
        </w:tc>
      </w:tr>
      <w:tr w:rsidR="00371D94" w:rsidRPr="00371D94" w:rsidTr="00397420">
        <w:trPr>
          <w:trHeight w:val="20"/>
        </w:trPr>
        <w:tc>
          <w:tcPr>
            <w:tcW w:w="518" w:type="dxa"/>
            <w:shd w:val="clear" w:color="auto" w:fill="auto"/>
            <w:noWrap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39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PLACA DE SOM USB 7.1 CANAIS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14,00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700,00</w:t>
            </w:r>
          </w:p>
        </w:tc>
        <w:tc>
          <w:tcPr>
            <w:tcW w:w="923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700,00</w:t>
            </w:r>
          </w:p>
        </w:tc>
        <w:tc>
          <w:tcPr>
            <w:tcW w:w="923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3.500,00</w:t>
            </w:r>
          </w:p>
        </w:tc>
      </w:tr>
      <w:tr w:rsidR="00371D94" w:rsidRPr="00371D94" w:rsidTr="00397420">
        <w:trPr>
          <w:trHeight w:val="20"/>
        </w:trPr>
        <w:tc>
          <w:tcPr>
            <w:tcW w:w="518" w:type="dxa"/>
            <w:shd w:val="clear" w:color="auto" w:fill="auto"/>
            <w:noWrap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ROTEADOR WIRELESS VELOCIDADE DE 300 MBPS COM DUAS ANTENAS FIXAS OMNIDIRECIONAL DE 05 DBI, 04 PORTAS LAN 10/100 MBPS, 01 PORTA WAN 10/100 MBPS. BOTÃO QSS. BOTÃO RESET. PADRÕES WIRELESS: IEEE 802.11N, IEEE 802.11G, IEEE 802.11B. COMPATIBILIDADE COM VERSÕES ANTERIORES DE PRODUTOS 802.11B/G. FUNÇÕES WIRELESS: ATIVA/DESATIVA RÁDIO WIRELESS, BRIDGE WDS, WMM, ESTATÍSTICAS SEGURANÇA WIRELESS: </w:t>
            </w: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64/128/152-BIT WEP / WPA / WPA2, WPA-PSK / WPA2-PSK - WIRELESS: WEP / WPA / WPA2, WPA-PSK / WPA2- 64/128/152 BITS. FONTE DE ALIMENTAÇÃO EXTERNA: 9VDC / 0,6A. CERTIFICAÇÃO: CE, FCC, ROHS. ACOMPANHA CD DE INSTALAÇÃO. GARANTIA MÍNIMA DE 1 ANO.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15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84,00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1.260,00</w:t>
            </w:r>
          </w:p>
        </w:tc>
        <w:tc>
          <w:tcPr>
            <w:tcW w:w="923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1.260,00</w:t>
            </w:r>
          </w:p>
        </w:tc>
        <w:tc>
          <w:tcPr>
            <w:tcW w:w="923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75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6.300,00</w:t>
            </w:r>
          </w:p>
        </w:tc>
      </w:tr>
      <w:tr w:rsidR="00371D94" w:rsidRPr="00371D94" w:rsidTr="00397420">
        <w:trPr>
          <w:trHeight w:val="20"/>
        </w:trPr>
        <w:tc>
          <w:tcPr>
            <w:tcW w:w="518" w:type="dxa"/>
            <w:shd w:val="clear" w:color="auto" w:fill="auto"/>
            <w:noWrap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47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SWITCH 24 PORTAS 10/100/1000 - 24 PORTAS RJ45 AUTO-SENSÍVEIS 10/100/1000 MBPS COM AUTO NEGOCIAÇÃO. CAPACIDADE DE COMUTAÇÃO 48 GBPS. LEDS INDICADORES DE CADA PORTA. SUPORTA CONTROLE DE FLUXO IEEE 802.3X PARA MODO FULL DUPLEX E BACKPRESSURE PARA MODO HALF DUPLEX. ARQUITETURA DE ENCAMINHAMENTO SEM BLOQUEIOS QUE ENCAMINHA E FILTRA OS PACOTES EM PLENA VELOCIDADE DE CABO COM TAXA DE TRANSFERÊNCIA MÁXIMA. GARANTIA 12 MESES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371D94" w:rsidRPr="00371D94" w:rsidRDefault="00371D94" w:rsidP="00371D9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465,00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9.300,00</w:t>
            </w:r>
          </w:p>
        </w:tc>
        <w:tc>
          <w:tcPr>
            <w:tcW w:w="923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9.300,00</w:t>
            </w:r>
          </w:p>
        </w:tc>
        <w:tc>
          <w:tcPr>
            <w:tcW w:w="923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371D94" w:rsidRPr="00371D94" w:rsidRDefault="00371D94" w:rsidP="0039742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71D9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46.500,00</w:t>
            </w:r>
          </w:p>
        </w:tc>
      </w:tr>
    </w:tbl>
    <w:p w:rsidR="003214FB" w:rsidRPr="008A2219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01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I </w:t>
      </w:r>
      <w:r w:rsidRPr="008A2219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02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8A2219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</w:t>
      </w:r>
      <w:r w:rsidRPr="008A2219">
        <w:rPr>
          <w:rFonts w:ascii="Verdana" w:hAnsi="Verdana" w:cs="Arial"/>
          <w:sz w:val="21"/>
          <w:szCs w:val="21"/>
        </w:rPr>
        <w:lastRenderedPageBreak/>
        <w:t>de Registro de Preços será, cancelada, garantidos, às suas detentoras, o contraditório e a ampla defesa.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03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04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6D7146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8A2219" w:rsidRDefault="003214FB" w:rsidP="006D7146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8A2219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05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06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8A2219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8A2219">
        <w:rPr>
          <w:rFonts w:ascii="Verdana" w:hAnsi="Verdana" w:cs="Arial"/>
          <w:sz w:val="21"/>
          <w:szCs w:val="21"/>
        </w:rPr>
        <w:t>definitivo pela unidade requisitante</w:t>
      </w:r>
      <w:r w:rsidRPr="008A2219">
        <w:rPr>
          <w:rFonts w:ascii="Verdana" w:hAnsi="Verdana" w:cs="Arial"/>
          <w:bCs/>
          <w:sz w:val="21"/>
          <w:szCs w:val="21"/>
        </w:rPr>
        <w:t xml:space="preserve"> do objeto, </w:t>
      </w:r>
      <w:r w:rsidRPr="008A2219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8A2219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</w:t>
      </w:r>
      <w:r w:rsidRPr="008A2219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I= (TX/100)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lastRenderedPageBreak/>
        <w:t xml:space="preserve">N = Número de dias entre a data prevista para o pagamento e a do efetivo pagamento; </w:t>
      </w:r>
    </w:p>
    <w:p w:rsidR="003214FB" w:rsidRPr="008A2219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8A2219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8A2219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07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8A2219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IV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V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VI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VII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08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8A2219">
        <w:rPr>
          <w:rFonts w:ascii="Verdana" w:hAnsi="Verdana" w:cs="Arial"/>
          <w:sz w:val="21"/>
          <w:szCs w:val="21"/>
        </w:rPr>
        <w:t>á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A. Advertência;</w:t>
      </w: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8A2219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8A2219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8A2219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– </w:t>
      </w:r>
      <w:r w:rsidRPr="008A2219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8A2219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8A2219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09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lastRenderedPageBreak/>
        <w:t xml:space="preserve">10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8A2219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11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8A2219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8A2219">
        <w:rPr>
          <w:rFonts w:ascii="Verdana" w:hAnsi="Verdana" w:cs="Arial"/>
          <w:sz w:val="21"/>
          <w:szCs w:val="21"/>
        </w:rPr>
        <w:t>a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B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C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D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8A2219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E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F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G </w:t>
      </w:r>
      <w:r w:rsidRPr="008A2219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8A2219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>Pelas detentoras, quando</w:t>
      </w:r>
      <w:r w:rsidRPr="008A2219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8A2219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8A2219">
        <w:rPr>
          <w:rFonts w:ascii="Verdana" w:hAnsi="Verdana" w:cs="Arial"/>
          <w:sz w:val="21"/>
          <w:szCs w:val="21"/>
        </w:rPr>
        <w:t>a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</w:t>
      </w:r>
      <w:r w:rsidRPr="008A2219">
        <w:rPr>
          <w:rFonts w:ascii="Verdana" w:hAnsi="Verdana" w:cs="Arial"/>
          <w:sz w:val="21"/>
          <w:szCs w:val="21"/>
        </w:rPr>
        <w:lastRenderedPageBreak/>
        <w:t>aplicação das penalidades previstas na Cláusula VIII, caso não aceitas as razões do pedido.</w:t>
      </w:r>
    </w:p>
    <w:p w:rsidR="003214FB" w:rsidRPr="008A2219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12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I</w:t>
      </w:r>
      <w:r w:rsidRPr="008A2219">
        <w:rPr>
          <w:rFonts w:ascii="Verdana" w:hAnsi="Verdana" w:cs="Arial"/>
          <w:b/>
          <w:sz w:val="21"/>
          <w:szCs w:val="21"/>
        </w:rPr>
        <w:t xml:space="preserve"> </w:t>
      </w:r>
      <w:r w:rsidRPr="008A2219">
        <w:rPr>
          <w:rFonts w:ascii="Verdana" w:hAnsi="Verdana" w:cs="Arial"/>
          <w:b/>
          <w:sz w:val="21"/>
          <w:szCs w:val="21"/>
        </w:rPr>
        <w:noBreakHyphen/>
      </w:r>
      <w:r w:rsidRPr="008A2219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8A2219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8A2219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8A2219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Papagaios, </w:t>
      </w:r>
      <w:r w:rsidR="00207166" w:rsidRPr="008A2219">
        <w:rPr>
          <w:rFonts w:ascii="Verdana" w:hAnsi="Verdana" w:cs="Arial"/>
          <w:sz w:val="21"/>
          <w:szCs w:val="21"/>
        </w:rPr>
        <w:t>07 de novembro de 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Município de Papagaios/MG</w:t>
      </w:r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8A2219">
        <w:rPr>
          <w:rFonts w:ascii="Verdana" w:hAnsi="Verdana" w:cs="Arial"/>
          <w:sz w:val="21"/>
          <w:szCs w:val="21"/>
        </w:rPr>
        <w:t>Filgueiras</w:t>
      </w:r>
      <w:proofErr w:type="spellEnd"/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8A2219" w:rsidRDefault="008844D2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ARJ Informática e Acessórios </w:t>
      </w:r>
      <w:proofErr w:type="spellStart"/>
      <w:r>
        <w:rPr>
          <w:rFonts w:ascii="Verdana" w:hAnsi="Verdana" w:cs="Arial"/>
          <w:sz w:val="21"/>
          <w:szCs w:val="21"/>
        </w:rPr>
        <w:t>Eireli</w:t>
      </w:r>
      <w:proofErr w:type="spellEnd"/>
      <w:r>
        <w:rPr>
          <w:rFonts w:ascii="Verdana" w:hAnsi="Verdana" w:cs="Arial"/>
          <w:sz w:val="21"/>
          <w:szCs w:val="21"/>
        </w:rPr>
        <w:t xml:space="preserve"> ME</w:t>
      </w:r>
    </w:p>
    <w:p w:rsidR="00207166" w:rsidRPr="008A2219" w:rsidRDefault="001A79D5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CNPJ/MF </w:t>
      </w:r>
      <w:r w:rsidR="008844D2">
        <w:rPr>
          <w:rFonts w:ascii="Verdana" w:hAnsi="Verdana" w:cs="Arial"/>
          <w:sz w:val="21"/>
          <w:szCs w:val="21"/>
        </w:rPr>
        <w:t>27.379.480/0001-08</w:t>
      </w:r>
    </w:p>
    <w:sectPr w:rsidR="00207166" w:rsidRPr="008A2219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0C" w:rsidRDefault="0013170C" w:rsidP="00E00126">
      <w:r>
        <w:separator/>
      </w:r>
    </w:p>
  </w:endnote>
  <w:endnote w:type="continuationSeparator" w:id="0">
    <w:p w:rsidR="0013170C" w:rsidRDefault="0013170C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23" w:rsidRPr="00320A16" w:rsidRDefault="000A71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0C" w:rsidRDefault="0013170C" w:rsidP="00E00126">
      <w:r>
        <w:separator/>
      </w:r>
    </w:p>
  </w:footnote>
  <w:footnote w:type="continuationSeparator" w:id="0">
    <w:p w:rsidR="0013170C" w:rsidRDefault="0013170C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0A71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0A7123" w:rsidRDefault="000A71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0A7123" w:rsidRPr="000015CB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A7123" w:rsidTr="000015CB">
      <w:trPr>
        <w:trHeight w:val="785"/>
      </w:trPr>
      <w:tc>
        <w:tcPr>
          <w:tcW w:w="2127" w:type="dxa"/>
          <w:vMerge/>
        </w:tcPr>
        <w:p w:rsidR="000A7123" w:rsidRDefault="000A7123">
          <w:pPr>
            <w:pStyle w:val="Cabealho"/>
          </w:pPr>
        </w:p>
      </w:tc>
      <w:tc>
        <w:tcPr>
          <w:tcW w:w="8930" w:type="dxa"/>
        </w:tcPr>
        <w:p w:rsidR="000A7123" w:rsidRPr="002936D7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A7123" w:rsidRDefault="000A71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810C5"/>
    <w:rsid w:val="00090E79"/>
    <w:rsid w:val="000974E5"/>
    <w:rsid w:val="000A7123"/>
    <w:rsid w:val="000E58D8"/>
    <w:rsid w:val="000F2E3E"/>
    <w:rsid w:val="001062A7"/>
    <w:rsid w:val="0011310E"/>
    <w:rsid w:val="00120493"/>
    <w:rsid w:val="0012144E"/>
    <w:rsid w:val="0013170C"/>
    <w:rsid w:val="00135131"/>
    <w:rsid w:val="001463D3"/>
    <w:rsid w:val="001A79D5"/>
    <w:rsid w:val="001B2493"/>
    <w:rsid w:val="001C236C"/>
    <w:rsid w:val="001D244A"/>
    <w:rsid w:val="00201ABC"/>
    <w:rsid w:val="00207166"/>
    <w:rsid w:val="002431AA"/>
    <w:rsid w:val="00264466"/>
    <w:rsid w:val="0027735F"/>
    <w:rsid w:val="00277514"/>
    <w:rsid w:val="00287689"/>
    <w:rsid w:val="0029311C"/>
    <w:rsid w:val="002936D7"/>
    <w:rsid w:val="002A725E"/>
    <w:rsid w:val="002C7E36"/>
    <w:rsid w:val="002F68A3"/>
    <w:rsid w:val="0030551D"/>
    <w:rsid w:val="00320A16"/>
    <w:rsid w:val="003214FB"/>
    <w:rsid w:val="00323758"/>
    <w:rsid w:val="00371D94"/>
    <w:rsid w:val="00386875"/>
    <w:rsid w:val="003951DD"/>
    <w:rsid w:val="00397420"/>
    <w:rsid w:val="003B15F8"/>
    <w:rsid w:val="003F02A6"/>
    <w:rsid w:val="003F5678"/>
    <w:rsid w:val="00407D55"/>
    <w:rsid w:val="00410E45"/>
    <w:rsid w:val="00444043"/>
    <w:rsid w:val="00455796"/>
    <w:rsid w:val="00462BF1"/>
    <w:rsid w:val="0046368B"/>
    <w:rsid w:val="00463BE3"/>
    <w:rsid w:val="004B5890"/>
    <w:rsid w:val="004F4F8E"/>
    <w:rsid w:val="004F6027"/>
    <w:rsid w:val="00513AE8"/>
    <w:rsid w:val="005235F1"/>
    <w:rsid w:val="005320BA"/>
    <w:rsid w:val="00546CB0"/>
    <w:rsid w:val="005639A2"/>
    <w:rsid w:val="00580C35"/>
    <w:rsid w:val="00596F67"/>
    <w:rsid w:val="00647C27"/>
    <w:rsid w:val="00647F9B"/>
    <w:rsid w:val="00650EF7"/>
    <w:rsid w:val="006826FC"/>
    <w:rsid w:val="006A4CAB"/>
    <w:rsid w:val="006B3C89"/>
    <w:rsid w:val="006D7146"/>
    <w:rsid w:val="006E4F98"/>
    <w:rsid w:val="006E7555"/>
    <w:rsid w:val="007020E9"/>
    <w:rsid w:val="00710506"/>
    <w:rsid w:val="00722A59"/>
    <w:rsid w:val="0074577B"/>
    <w:rsid w:val="007545C6"/>
    <w:rsid w:val="00790095"/>
    <w:rsid w:val="007B099B"/>
    <w:rsid w:val="007B2225"/>
    <w:rsid w:val="007E1E17"/>
    <w:rsid w:val="007F586D"/>
    <w:rsid w:val="008257EF"/>
    <w:rsid w:val="00834053"/>
    <w:rsid w:val="00861C73"/>
    <w:rsid w:val="008835B4"/>
    <w:rsid w:val="008844D2"/>
    <w:rsid w:val="00890158"/>
    <w:rsid w:val="00892F8B"/>
    <w:rsid w:val="008A2219"/>
    <w:rsid w:val="008A51F1"/>
    <w:rsid w:val="008B5F41"/>
    <w:rsid w:val="008D0A2B"/>
    <w:rsid w:val="009239F0"/>
    <w:rsid w:val="00946491"/>
    <w:rsid w:val="0097482B"/>
    <w:rsid w:val="009A1898"/>
    <w:rsid w:val="009C7035"/>
    <w:rsid w:val="009C7BE7"/>
    <w:rsid w:val="009D4EF2"/>
    <w:rsid w:val="009E6215"/>
    <w:rsid w:val="00A228DB"/>
    <w:rsid w:val="00A43F8E"/>
    <w:rsid w:val="00A50A15"/>
    <w:rsid w:val="00A71783"/>
    <w:rsid w:val="00AB4166"/>
    <w:rsid w:val="00AC6D3E"/>
    <w:rsid w:val="00B202D4"/>
    <w:rsid w:val="00B23595"/>
    <w:rsid w:val="00B45296"/>
    <w:rsid w:val="00B45FC7"/>
    <w:rsid w:val="00B53D45"/>
    <w:rsid w:val="00B63A37"/>
    <w:rsid w:val="00BA7BD9"/>
    <w:rsid w:val="00BD5318"/>
    <w:rsid w:val="00BE777A"/>
    <w:rsid w:val="00C0181F"/>
    <w:rsid w:val="00C07112"/>
    <w:rsid w:val="00C12241"/>
    <w:rsid w:val="00C20EE0"/>
    <w:rsid w:val="00C41349"/>
    <w:rsid w:val="00C828B3"/>
    <w:rsid w:val="00D33AE5"/>
    <w:rsid w:val="00D520F1"/>
    <w:rsid w:val="00D559F6"/>
    <w:rsid w:val="00D63541"/>
    <w:rsid w:val="00D75DD1"/>
    <w:rsid w:val="00D9523C"/>
    <w:rsid w:val="00DA41A2"/>
    <w:rsid w:val="00E00126"/>
    <w:rsid w:val="00E0382D"/>
    <w:rsid w:val="00E2158B"/>
    <w:rsid w:val="00E3064C"/>
    <w:rsid w:val="00E33182"/>
    <w:rsid w:val="00E512AF"/>
    <w:rsid w:val="00E672E4"/>
    <w:rsid w:val="00E96684"/>
    <w:rsid w:val="00EC28D8"/>
    <w:rsid w:val="00EC32B5"/>
    <w:rsid w:val="00F4320D"/>
    <w:rsid w:val="00F448CE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2299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9</cp:revision>
  <cp:lastPrinted>2018-04-04T19:43:00Z</cp:lastPrinted>
  <dcterms:created xsi:type="dcterms:W3CDTF">2018-11-19T14:03:00Z</dcterms:created>
  <dcterms:modified xsi:type="dcterms:W3CDTF">2018-11-19T14:31:00Z</dcterms:modified>
</cp:coreProperties>
</file>