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781858" w:rsidRDefault="00961925" w:rsidP="00961925">
      <w:pPr>
        <w:pageBreakBefore/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PROCESSO LICITATÓRIO Nº </w:t>
      </w:r>
      <w:r w:rsidR="00301908">
        <w:rPr>
          <w:rFonts w:ascii="Verdana" w:hAnsi="Verdana"/>
          <w:b/>
          <w:color w:val="000000"/>
          <w:sz w:val="21"/>
          <w:szCs w:val="21"/>
        </w:rPr>
        <w:t>072/2018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PREGÃO PRESENCIAL Nº </w:t>
      </w:r>
      <w:r w:rsidR="00301908">
        <w:rPr>
          <w:rFonts w:ascii="Verdana" w:hAnsi="Verdana"/>
          <w:b/>
          <w:color w:val="000000"/>
          <w:sz w:val="21"/>
          <w:szCs w:val="21"/>
        </w:rPr>
        <w:t>042/2018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1"/>
          <w:szCs w:val="21"/>
          <w:u w:val="single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ATA DE REGISTRO DE PREÇOS Nº </w:t>
      </w:r>
      <w:r w:rsidR="006C3979">
        <w:rPr>
          <w:rFonts w:ascii="Verdana" w:hAnsi="Verdana"/>
          <w:color w:val="000000"/>
          <w:sz w:val="21"/>
          <w:szCs w:val="21"/>
        </w:rPr>
        <w:t>031/2018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PROCESSO Nº </w:t>
      </w:r>
      <w:r w:rsidR="00301908">
        <w:rPr>
          <w:rFonts w:ascii="Verdana" w:hAnsi="Verdana"/>
          <w:color w:val="000000"/>
          <w:sz w:val="21"/>
          <w:szCs w:val="21"/>
        </w:rPr>
        <w:t>072/2018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VALIDADE: 12 meses.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Aos </w:t>
      </w:r>
      <w:r w:rsidR="00072433">
        <w:rPr>
          <w:rFonts w:ascii="Verdana" w:hAnsi="Verdana" w:cs="Arial"/>
          <w:color w:val="000000"/>
          <w:sz w:val="21"/>
          <w:szCs w:val="21"/>
        </w:rPr>
        <w:t>11 (onze)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dias do mês de </w:t>
      </w:r>
      <w:r w:rsidR="00072433">
        <w:rPr>
          <w:rFonts w:ascii="Verdana" w:hAnsi="Verdana" w:cs="Arial"/>
          <w:color w:val="000000"/>
          <w:sz w:val="21"/>
          <w:szCs w:val="21"/>
        </w:rPr>
        <w:t>junho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de </w:t>
      </w:r>
      <w:r w:rsidR="006C3979">
        <w:rPr>
          <w:rFonts w:ascii="Verdana" w:hAnsi="Verdana" w:cs="Arial"/>
          <w:color w:val="000000"/>
          <w:sz w:val="21"/>
          <w:szCs w:val="21"/>
        </w:rPr>
        <w:t>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na sala de licitações, na sede da Prefeitura Municipal, situada na </w:t>
      </w:r>
      <w:r w:rsidR="00072433">
        <w:rPr>
          <w:rFonts w:ascii="Verdana" w:hAnsi="Verdana" w:cs="Arial"/>
          <w:color w:val="000000"/>
          <w:sz w:val="21"/>
          <w:szCs w:val="21"/>
        </w:rPr>
        <w:t>Avenida Francisco Valadares da Fonseca, nº. 250, bairro Vasco Lopes, Papagaios/MG, CEP 35.669-000</w:t>
      </w:r>
      <w:r w:rsidRPr="00781858">
        <w:rPr>
          <w:rFonts w:ascii="Verdana" w:hAnsi="Verdana" w:cs="Arial"/>
          <w:color w:val="000000"/>
          <w:sz w:val="21"/>
          <w:szCs w:val="21"/>
        </w:rPr>
        <w:t>, o Exm</w:t>
      </w:r>
      <w:r w:rsidR="00072433">
        <w:rPr>
          <w:rFonts w:ascii="Verdana" w:hAnsi="Verdana" w:cs="Arial"/>
          <w:color w:val="000000"/>
          <w:sz w:val="21"/>
          <w:szCs w:val="21"/>
        </w:rPr>
        <w:t xml:space="preserve">o. Sr. Prefeito Municipal, Sr. Mário Reis </w:t>
      </w:r>
      <w:proofErr w:type="spellStart"/>
      <w:r w:rsidR="00072433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  <w:r w:rsidRPr="00781858">
        <w:rPr>
          <w:rFonts w:ascii="Verdana" w:hAnsi="Verdana" w:cs="Arial"/>
          <w:color w:val="000000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por deliberação do pregoeiro oficial e equipe de apoio, e por ele homologada conforme processo nº </w:t>
      </w:r>
      <w:r w:rsidR="00301908">
        <w:rPr>
          <w:rFonts w:ascii="Verdana" w:hAnsi="Verdana" w:cs="Arial"/>
          <w:color w:val="000000"/>
          <w:sz w:val="21"/>
          <w:szCs w:val="21"/>
        </w:rPr>
        <w:t>072/2018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RESOLVE registrar os preços para os fornecimentos constantes nos anexos desta ata, beneficiário </w:t>
      </w:r>
      <w:r w:rsidR="00A151B3" w:rsidRPr="000812B0">
        <w:rPr>
          <w:rFonts w:ascii="Verdana" w:hAnsi="Verdana" w:cs="Arial"/>
          <w:b/>
          <w:sz w:val="21"/>
          <w:szCs w:val="21"/>
        </w:rPr>
        <w:t>MED CENTER COMERCIAL LTDA</w:t>
      </w:r>
      <w:r w:rsidR="00A151B3" w:rsidRPr="000812B0">
        <w:rPr>
          <w:rFonts w:ascii="Verdana" w:hAnsi="Verdana" w:cs="Arial"/>
          <w:sz w:val="21"/>
          <w:szCs w:val="21"/>
        </w:rPr>
        <w:t xml:space="preserve">, localizado na Rodovia JK (BR 459), Km 99, bairro Jardim Santa </w:t>
      </w:r>
      <w:proofErr w:type="spellStart"/>
      <w:r w:rsidR="00A151B3" w:rsidRPr="000812B0">
        <w:rPr>
          <w:rFonts w:ascii="Verdana" w:hAnsi="Verdana" w:cs="Arial"/>
          <w:sz w:val="21"/>
          <w:szCs w:val="21"/>
        </w:rPr>
        <w:t>Edwirges</w:t>
      </w:r>
      <w:proofErr w:type="spellEnd"/>
      <w:r w:rsidR="00A151B3" w:rsidRPr="000812B0">
        <w:rPr>
          <w:rFonts w:ascii="Verdana" w:hAnsi="Verdana" w:cs="Arial"/>
          <w:sz w:val="21"/>
          <w:szCs w:val="21"/>
        </w:rPr>
        <w:t>, Pouso Alegre/MG, CEP 37.550-000, cujo CNPJ é 00.874.929/0001-40, neste ato representado por Márcia Pereira Daniel Nery, inscrito no CPF/MF sob o nº. 589.845.186-20, conforme quadro abaixo</w:t>
      </w:r>
      <w:r w:rsidRPr="00781858">
        <w:rPr>
          <w:rFonts w:ascii="Verdana" w:hAnsi="Verdana" w:cs="Arial"/>
          <w:color w:val="000000"/>
          <w:sz w:val="21"/>
          <w:szCs w:val="21"/>
        </w:rPr>
        <w:t>:</w:t>
      </w: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737"/>
        <w:gridCol w:w="845"/>
        <w:gridCol w:w="1314"/>
        <w:gridCol w:w="1054"/>
        <w:gridCol w:w="926"/>
        <w:gridCol w:w="1038"/>
        <w:gridCol w:w="926"/>
        <w:gridCol w:w="1038"/>
      </w:tblGrid>
      <w:tr w:rsidR="001923E3" w:rsidRPr="001923E3" w:rsidTr="001923E3">
        <w:trPr>
          <w:trHeight w:val="20"/>
        </w:trPr>
        <w:tc>
          <w:tcPr>
            <w:tcW w:w="521" w:type="dxa"/>
            <w:vMerge w:val="restart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7160" w:type="dxa"/>
            <w:gridSpan w:val="7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b/>
                <w:bCs/>
                <w:sz w:val="14"/>
                <w:szCs w:val="14"/>
              </w:rPr>
              <w:t>QUANTIDADE/ VALOR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218" w:type="dxa"/>
            <w:gridSpan w:val="3"/>
            <w:shd w:val="clear" w:color="000000" w:fill="BFBFB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Órgão gerenciador</w:t>
            </w:r>
          </w:p>
        </w:tc>
        <w:tc>
          <w:tcPr>
            <w:tcW w:w="1971" w:type="dxa"/>
            <w:gridSpan w:val="2"/>
            <w:shd w:val="clear" w:color="000000" w:fill="BFBFB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71" w:type="dxa"/>
            <w:gridSpan w:val="2"/>
            <w:shd w:val="clear" w:color="000000" w:fill="BFBFB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Limite decorrente de adesões</w:t>
            </w:r>
          </w:p>
        </w:tc>
      </w:tr>
      <w:tr w:rsidR="001923E3" w:rsidRPr="001923E3" w:rsidTr="001923E3">
        <w:trPr>
          <w:trHeight w:val="170"/>
        </w:trPr>
        <w:tc>
          <w:tcPr>
            <w:tcW w:w="521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shd w:val="clear" w:color="000000" w:fill="D9D9D9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1923E3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Estimada</w:t>
            </w:r>
          </w:p>
        </w:tc>
        <w:tc>
          <w:tcPr>
            <w:tcW w:w="1314" w:type="dxa"/>
            <w:vMerge w:val="restart"/>
            <w:shd w:val="clear" w:color="000000" w:fill="D9D9D9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Valor Unitário </w:t>
            </w:r>
          </w:p>
        </w:tc>
        <w:tc>
          <w:tcPr>
            <w:tcW w:w="1058" w:type="dxa"/>
            <w:vMerge w:val="restart"/>
            <w:shd w:val="clear" w:color="000000" w:fill="D9D9D9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29" w:type="dxa"/>
            <w:vMerge w:val="restart"/>
            <w:shd w:val="clear" w:color="000000" w:fill="D9D9D9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1923E3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1923E3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1042" w:type="dxa"/>
            <w:vMerge w:val="restart"/>
            <w:shd w:val="clear" w:color="000000" w:fill="D9D9D9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29" w:type="dxa"/>
            <w:vMerge w:val="restart"/>
            <w:shd w:val="clear" w:color="000000" w:fill="D9D9D9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1923E3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1923E3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1042" w:type="dxa"/>
            <w:vMerge w:val="restart"/>
            <w:shd w:val="clear" w:color="000000" w:fill="D9D9D9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</w:tr>
      <w:tr w:rsidR="001923E3" w:rsidRPr="001923E3" w:rsidTr="001923E3">
        <w:trPr>
          <w:trHeight w:val="170"/>
        </w:trPr>
        <w:tc>
          <w:tcPr>
            <w:tcW w:w="521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1923E3" w:rsidRPr="001923E3" w:rsidRDefault="001923E3" w:rsidP="001923E3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ÁCIDO ACÉTICO 2 LT. 2%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10,1200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1.012,00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1.012,00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5.060,00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ÁGUA OXIGENADA 10 VOLUMES SEM SER CREMOSA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3,3000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AGULHA 13X4, 5 C/100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5,0600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4.048,00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4.048,00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20.240,00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AGULHA 20X5, 5 C/100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5,0300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1.509,00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1.509,00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7.545,00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AGULHA 25X7 C/100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5,0300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2.515,00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2.515,00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12.575,00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AGULHA 25X8 C/100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5,0300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2.515,00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2.515,00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12.575,00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AGULHA 40X12 C/100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5,8800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2.940,00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2.940,00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14.700,00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ÁLCOOL ETÍLICO HIDRATADO 70% 1000 ML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3,7500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11.250,00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11.250,00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56.250,00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ALGODÃO ORTOPÉDICO 08 CM PACOTE C/12 UND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2,3700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355,50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355,50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1.777,50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ALGODÃO ORTOPÉDICO 10 CM PACOTE C/12 UND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3,5300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529,50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529,50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2.647,50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ALGODÃO ORTOPÉDICO 12 CM PACOTE C/ 12 UND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3,5600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534,00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534,00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2.670,00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ALGODÃO ORTOPÉDICO 15 CM PACOTE C/ 12 UND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5,3000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795,00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795,00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3.975,00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APARELHO DE PRESSÃO ARTERIAL - APARELHO DE PRESSÃO ARTERIAL ADULTO EM NYLON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BOTÃO METAL CINZA E ANTIALÉRGICO E PODE SER MELHOR HIGIENIZADO CONFECCIONADA EM TECIDO 100% POLIAMIDA COM DUPLA CAMADA DE RESINA, IMPERMEÁVEL QUE PERMITE HIGIENIZAÇÃO, RESISTENTE, FLEXÍVEL E ANTIALÉRGICO. MANGUITO: BORRACHA VULCANIZADA COM DUAS SAÍDAS, SEM EMENDAS, DE ALTA DURABILIDADE. MANÔMETRO: ANERÓIDE COM ESCALA DE 0 A 300 MM/HG. CAIXA DE METAL ALTAMENTE RESISTENTE COM PRESILHAS DE METAL, CONTENDO O Nº DA PORTARIA DO INMETRO NO VISOR E O RESPECTIVO SELO DE VISTORIA NO CERTIFICADO QUE ACOMPANHA O PRODUTO. PERA INSUFLADORA: BORRACHA VULCANIZADA COM SISTEMA DE RETORNO EM METAL, COM ESFERA DE AÇO INOX DE ALTA DURABILIDADE. VÁLVULA: METAL ALTAMENTE RESISTENTE COM REGULAGEM DE SAÍDA DE AR DURABILIDADE. VÁLVULA: METAL ALTAMENTE RESISTENTE COM REGULAGEM DE SAÍDA DE AR SENSÍVEL.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71,7000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1.720,80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1.720,80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8.604,00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34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ATADURA GESSADA 08 CM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0,8000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6.000,00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ATADURA GESSADA 15 CM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1,5500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2.325,00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2.325,00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11.625,00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ATAURA GESSADA 10 CM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1,0800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8.100,00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AUMOTOLIA BRANCA 250 ML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2,0000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6.000,00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AUMOTOLIA MARROM 250 ML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2,0000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CADEIRA DE RODAS PARA BANHO COM ASSENTO SANITÁRIO, CONFECCIONADO EM ALUMÍNIO OU AÇO TUBULAR, PINTURA ELETROSTÁTICA, ESTRUTURA A PERMITIR O ENCAIXE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 xml:space="preserve">SOBRE VASO SANITÁRIO NORMAL, BRAÇOS FIXOS ENCOSTO PADRÃO, PROVIDAS DE QUATRO RODAS PEQUENAS, COM PNEUS MACIÇOS, SENDO AS TRASEIRAS FIXAS E DIANTEIRAS GIRATÓRIAS, FREIO BILATERAL COM SISTEMA ESTICADOR, APOIO PARA PÉS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164,9000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1.649,00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1.649,00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8.245,00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58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CAIXA TÉRMICA PARA 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VACINA,PRODUZIDA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COM MATERIAL DO TIPO POLIURETANO,COM CAPACIDADE DE 56 LTS COM TAMPA, TRAVAS,RODÍZIOS E ALÇA CENTRAL COM REGULAGEM.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516,5000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2.582,50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2.582,50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12.912,50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CAIXA TÉRMICA PARA 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VACINA,PRODUZIDA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COM MATERIAL DO TIPO POLIURETANO,COM CAPACIDADE DE +- 30 LTS COM TAMPA, TRAVAS,RODÍZIOS E ALÇA CENTRAL COM REGULAGEM.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162,3000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811,50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811,50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4.057,50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CÂNULA DE GUEDEL N/01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1,9500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CÂNULA DE GUEDEL N/02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1,9500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CÂNULA DE GUEDEL N/03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1,9500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CÂNULA DE GUEDEL N/04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1,9500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CÂNULA DE GUEDEL N/05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1,9500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COLAR CERVICAL PARA RESGATE G.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10,8000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270,00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COLAR CERVICAL PARA RESGATE INFANTIL.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11,4900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45,96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45,96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229,80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COLAR CERVICAL PARA RESGATE 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10,8000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43,20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43,20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216,00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COLAR CERVICAL PARA RESGATE P.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10,8000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43,20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43,20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216,00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Coletor de Urina para Incontinência com Preservativo sem Recipiente com 1 Unidade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0,7900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237,00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237,00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1.185,00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COLETOR DE URINA SISTEMA FECHADO ADULTO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2,1800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1.090,00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CURATIVO PLACA DE HIDROCOLÓIDE 10 CM X 10 CM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5,2900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5.290,00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5.290,00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26.450,00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ENVELOPE DE ESTERILIZAÇÃO P/AUTOCLAVE 10 X 100 METROS, BOBINA DE PAPEL GRAU CIRÚRGICO COM INDICADOR QUÍMICO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31,9000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1.595,00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ENVELOPE DE ESTERILIZAÇÃO P/AUTOCLAVE 15 X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100 METROS, BOBINA DE PAPEL GRAU CIRÚRGICO COM INDICADOR QUÍMICO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46,9000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469,00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469,00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2.345,00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105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ENVELOPE DE ESTERILIZAÇÃO P/AUTOCLAVE 20 X 100 METROS, BOBINA DE PAPEL GRAU CIRÚRGICO COM INDICADOR QUÍMICO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63,9000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639,00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639,00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3.195,00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EQUIPO C/ INJETOR MACRO GOTAS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0,6800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6.800,00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6.800,00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34.000,00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110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EQUIPO SEM INJETOR MICRO GOTAS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1,2500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FILME PARA ULTRASSOM UPP 110 HG (110 MM. X18MTS.)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60,9000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12.180,00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12.180,00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60.900,00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FILME RX BASE VERDE  18 X 24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74,5000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2.980,00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2.980,00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14.900,00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FILME RX BASE VERDE  24 X 30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124,2000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4.968,00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4.968,00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24.840,00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FILME RX BASE VERDE  30 X 40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206,0000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10.300,00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10.300,00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51.500,00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FILME RX BASE VERDE  35 X 35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211,3000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12.678,00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12.678,00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63.390,00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FILME RX BASE VERDE 13 X 18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40,3500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80,70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80,70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403,50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FILME RX BASE VERDE 35X43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259,6400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519,28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519,28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2.596,40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CATGUT CROMADO 2.0 C/24.AGULHA ½ CIRCULAR CILÍNDRICA 2,0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76,4000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7.640,00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CATGUT CROMADO 3.0 C/24. AGULHA ½ CIRCULAR CILÍNDRICA 2,0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76,4000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7.640,00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CATGUT CROMADO 4.0 C/24. AGULHA ½ CIRCULAR CILÍNDRICA 2,0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76,4000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7.640,00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CATGUT CROMADO 5.0 C/24. AGULHA ½ CIRCULAR CILÍNDRICA 2,0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76,4000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7.640,00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CATGUT SIMPLES 2.0 C/24. AGULHA ½ CIRCULAR CILÍNDRICA 2,0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76,4000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7.640,00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CATGUT SIMPLES 3.0 C/24. AGULHA ½ CIRCULAR CILÍNDRICA 2,0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76,4000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1.528,00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7.640,00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NYLON 2.0 C/24.AGULHA TRIANGULAR CORTANTE 19MM 3/8 EM AÇO INOXIDÁVEL 1,9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556,80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556,80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2.784,00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NYLON 3.0 C/24. AGULHA TRIANGULAR CORTANTE 19MM 3/8 EM AÇO INOXIDÁVEL 1,9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1.392,00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1.392,00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6.960,00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NYLON 4.0 C/24. AGULHA TRIANGULAR CORTANTE 19MM 3/8 EM AÇO INOXIDÁVEL 1,9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1.392,00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1.392,00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6.960,00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FIO NYLON 5.0 C/24. AGULHA TRIANGULAR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CORTANTE 19MM 3/8 EM AÇO INOXIDÁVEL 1,9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146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FIO NYLON 6.0 C/24. AGULHA TRIANGULAR CORTANTE 19MM 3/8 EM AÇO INOXIDÁVEL 1,9 CM.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556,80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556,80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2.784,00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b/>
                <w:bCs/>
                <w:sz w:val="14"/>
                <w:szCs w:val="14"/>
              </w:rPr>
              <w:t xml:space="preserve">FIO SEDA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FIO SEDA PARA SUTURA SENDO PROVIDOS DE AGULHAS CIRÚRGICAS DE AÇO INOX CIRCULAR CILINDRICA. O PRODUTO 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DEVERA  ATENDER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AS ESPECIFICAÇÕES DA NBR 13904 DA ABNT - ASSOCIAÇÃO BRASILEIRA DE NORMAS TÉCNICAS E FARMACOPÉIA BRASILEIRA PARA SUTURAS CIRÚRGICAS NÃO ABSORVÍVEIS.   Nº2-0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45,3000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453,00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453,00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2.265,00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b/>
                <w:bCs/>
                <w:sz w:val="14"/>
                <w:szCs w:val="14"/>
              </w:rPr>
              <w:t xml:space="preserve">FIO SEDA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FIO SEDA PARA SUTURA SENDO PROVIDOS DE AGULHAS CIRÚRGICAS DE AÇO INOX CIRCULAR CILINDRICA. O PRODUTO 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DEVERA  ATENDER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AS ESPECIFICAÇÕES DA NBR 13904 DA ABNT - ASSOCIAÇÃO BRASILEIRA DE NORMAS TÉCNICAS E FARMACOPÉIA BRASILEIRA PARA SUTURAS CIRÚRGICAS NÃO ABSORVÍVEIS.   Nº3-0.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31,0000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b/>
                <w:bCs/>
                <w:sz w:val="14"/>
                <w:szCs w:val="14"/>
              </w:rPr>
              <w:t xml:space="preserve">FIO SEDA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FIO SEDA PARA SUTURA SENDO PROVIDOS DE AGULHAS CIRÚRGICAS DE AÇO INOX CIRCULAR CILINDRICA. O PRODUTO 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DEVERA  ATENDER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AS ESPECIFICAÇÕES DA NBR 13904 DA ABNT - ASSOCIAÇÃO BRASILEIRA DE NORMAS TÉCNICAS E FARMACOPÉIA 19BRASILEIRA PARA SUTURAS CIRÚRGICAS NÃO ABSORVÍVEIS.   Nº4-0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31,0000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b/>
                <w:bCs/>
                <w:sz w:val="14"/>
                <w:szCs w:val="14"/>
              </w:rPr>
              <w:t xml:space="preserve">FIO SEDA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FIO SEDA PARA SUTURA SENDO PROVIDOS DE AGULHAS CIRÚRGICAS DE AÇO INOX CIRCULAR CILINDRICA. O PRODUTO 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DEVERA  ATENDER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AS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ESPECIFICAÇÕES DA NBR 13904 DA ABNT - ASSOCIAÇÃO BRASILEIRA DE NORMAS TÉCNICAS E FARMACOPÉIA BRASILEIRA PARA SUTURAS CIRÚRGICAS NÃO ABSORVÍVEIS.   Nº 5-0.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48,8000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488,00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488,00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2.440,00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159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FRALDA DESCARTÁVEL EG ADULTO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1,0200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10.200,00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10.200,00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51.000,00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FRALDA DESCARTÁVEL G ADULTO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0,9000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9.000,00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9.000,00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45.000,00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FRALDA DESCARTÁVEL M ADULTO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0,8900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1.780,00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1.780,00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8.900,00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FRASCO P/ CITOLOGIA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0,2600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1.560,00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FRASCO P/ NUTRIÇÃO ENTERAL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0,5400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8.100,00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172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GEL PARA ELETRO 1000 ML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3,7200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372,00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372,00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1.860,00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174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GLICERINA BI-DESTILADA BRANCA 1000 ML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10,5000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1.575,00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175</w:t>
            </w:r>
          </w:p>
        </w:tc>
        <w:tc>
          <w:tcPr>
            <w:tcW w:w="173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HIDROGEL 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COM  ALGINATO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DE CÁLCIO 85 G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15,1900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4.557,00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4.557,00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22.785,00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177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HISTERÔMETRO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37,8000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226,80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226,80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1.134,00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JELCO 14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0,5850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409,50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2.047,50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JELCO 16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0,5850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585,00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585,00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2.925,00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JELCO 18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0,5400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2.700,00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JELCO 20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0,5400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2.700,00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2.700,00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13.500,00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JELCO 22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0,5400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2.700,00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2.700,00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13.500,00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JELCO 24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0,5400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8.100,00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LÂMINA BORDA FOSCA C/50 UNIDADES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3,0000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LÂMINA DE BISTURI Nº12 CAIXA COM 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19,6000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588,00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588,00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2.940,00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LÂMINA DE BISTURI Nº24 CAIXA COM 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20,6900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413,80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413,80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2.069,00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LUVAS ESTERIL 7,0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0,8500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1.275,00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1.275,00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6.375,00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LUVAS ESTERIL 7,5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0,8500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12.750,00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LUVAS ESTERIL 8,0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0,8500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2.550,00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12.750,00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LUVAS ESTERIL 8,5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0,8500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1.275,00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1.275,00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6.375,00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MANDRIL ADULTO PARA ENTUBAÇÃO ENDOTRAQUEAL EM PLÁSTICO.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13,3000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399,00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399,00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1.995,00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MANDRIL INFANTIL PARA ENTUBAÇÃO ENDOTRAQUEAL EM PLÁSTICO.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12,8600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385,80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385,80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1.929,00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MANTA TERMICA ALUMINIZADA Manta térmica </w:t>
            </w:r>
            <w:proofErr w:type="spellStart"/>
            <w:r w:rsidRPr="001923E3">
              <w:rPr>
                <w:rFonts w:ascii="Verdana" w:hAnsi="Verdana" w:cs="Times New Roman"/>
                <w:sz w:val="14"/>
                <w:szCs w:val="14"/>
              </w:rPr>
              <w:t>aluminizada</w:t>
            </w:r>
            <w:proofErr w:type="spell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, indicada para o resgate de paciente, quando for necessário manter o calor do corpo, evitando o "choque </w:t>
            </w:r>
            <w:proofErr w:type="spellStart"/>
            <w:r w:rsidRPr="001923E3">
              <w:rPr>
                <w:rFonts w:ascii="Verdana" w:hAnsi="Verdana" w:cs="Times New Roman"/>
                <w:sz w:val="14"/>
                <w:szCs w:val="14"/>
              </w:rPr>
              <w:t>térmico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";tamanho</w:t>
            </w:r>
            <w:proofErr w:type="spellEnd"/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a partir de 1,40x2,10 – adulto.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4,0500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121,50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121,50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MASCARA COM RESERVATÓRIO ALTO FLUXO ADULTO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10,1500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101,50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101,50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213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MÁSCARA DE RESPIRAÇÃO N.º 95. FILTRO DE PARTICULADOS CLASSE PFF-2 / N95. FORMATO CONCHA. RESISTENTE A FLUIDOS. REGISTRO NO MINISTÉRIO DA SAÚDE.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1,6000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MÁSCARA DE VENTURI ADULTO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12,4500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186,75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186,75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933,75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MÁSCARA INFANTIL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13,0500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1.305,00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1.305,00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6.525,00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226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MASCARA TRIPA C/ CLIPS (ELÁSTICO) CX C/50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4,4500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222,50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222,50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1.112,50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228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ÓCULOS DE PROTEÇÃO INDIVIDUAL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3,4000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1.700,00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PAPEL LENÇOL 0,70 X 50M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5,0700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4.056,00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4.056,00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20.280,00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PAPEL P/ ECG 30 M 50 MM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2,4300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486,00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486,00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2.430,00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PAPEL P/ECG 80 MM/20M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6,8000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5.100,00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PERA PARA ELETRO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2,4000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PINÇA ANATÔMICA DENTE DE RATO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7,9000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790,00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247</w:t>
            </w:r>
          </w:p>
        </w:tc>
        <w:tc>
          <w:tcPr>
            <w:tcW w:w="173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PINÇA HEMOSTÁICA CURVA 14 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CM  PINÇA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HEMOSTÁTICA CURVA com serrilha </w:t>
            </w:r>
            <w:proofErr w:type="spellStart"/>
            <w:r w:rsidRPr="001923E3">
              <w:rPr>
                <w:rFonts w:ascii="Verdana" w:hAnsi="Verdana" w:cs="Times New Roman"/>
                <w:sz w:val="14"/>
                <w:szCs w:val="14"/>
              </w:rPr>
              <w:t>delicada,medindo</w:t>
            </w:r>
            <w:proofErr w:type="spell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12 cm, confeccionada em aço inox, com registro no MS.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18,9000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378,00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378,00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1.890,00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248</w:t>
            </w:r>
          </w:p>
        </w:tc>
        <w:tc>
          <w:tcPr>
            <w:tcW w:w="173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PINÇA HEMOSTÁICA RETA 14 CM PINÇA CRILE HEMOSTÁTICA RETA com serrilha </w:t>
            </w:r>
            <w:proofErr w:type="spellStart"/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delicada,medindo</w:t>
            </w:r>
            <w:proofErr w:type="spellEnd"/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 12 cm, confeccionada em aço inox, com registro no MS.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19,0000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1.900,00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RÉGUA ANTROPOMÉTRICA, FABRICADA EM MADEIRA, TAMANHO UNICO 1 METRO, GRADUADA EM MILIMETROS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41,5000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124,50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124,50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622,50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SACO DE LIXO HOSPITALAR, INFECTANTE, BRANCO 63 CM X 80 CM DE 50 LITROS 100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%  POLIETILENO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, FUNDO SANFONADO, COM VALIDADE, SÍMBOLO INFECTANTE, CAPACIDADE 15 KILOS, E DADOS DO FABRICANTE, ESTAMPADA EM CADA SACO REGISTRO ANVISA / MS. FARDO COM 100 UNIDADES. APRESENTAR AUTORIZAÇÃO DE CORRELATOS DO FABRICANTE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12,8000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1.280,00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6.400,00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SACO DE LIXO HOSPITALAR,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INFECTANTE, BRANCO 75 CM X 105 CM DE 100 LITROS 100</w:t>
            </w:r>
            <w:proofErr w:type="gramStart"/>
            <w:r w:rsidRPr="001923E3">
              <w:rPr>
                <w:rFonts w:ascii="Verdana" w:hAnsi="Verdana" w:cs="Times New Roman"/>
                <w:sz w:val="14"/>
                <w:szCs w:val="14"/>
              </w:rPr>
              <w:t>%  POLIETILENO</w:t>
            </w:r>
            <w:proofErr w:type="gramEnd"/>
            <w:r w:rsidRPr="001923E3">
              <w:rPr>
                <w:rFonts w:ascii="Verdana" w:hAnsi="Verdana" w:cs="Times New Roman"/>
                <w:sz w:val="14"/>
                <w:szCs w:val="14"/>
              </w:rPr>
              <w:t>, FUNDO SANFONADO, COM VALIDADE, SÍMBOLO INFECTANTE, CAPACIDADE 30 KILOS, E DADOS DO FABRICANTE, ESTAMPADA EM CADA SACO REGISTRO ANVISA / MS. FARDO COM 100 UNIDADES. APRESENTAR AUTORIZAÇÃO DE CORRELATOS DO FABRICANTE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24,8000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2.480,00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2.480,00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12.400,00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258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SCALP 19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0,1540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SCALP 21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0,1540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308,00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1.540,00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260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SCALP 23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0,1540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924,00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924,00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4.620,00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261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SCALP 25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0,1540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924,00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924,00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4.620,00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265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SERINGA 10 ML C/ AGULHA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0,2680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536,00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536,00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2.680,00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266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SERINGA 10 ML S/ AGULHA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0,2120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4.240,00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4.240,00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21.200,00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267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SERINGA 20 ML C/ AGULHA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0,3780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756,00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3.780,00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269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SERINGA 3 ML C/ AGULHA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0,1570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314,00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1.570,00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270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SERINGA 3 ML S/ AGULHA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0,1020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1.020,00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5.100,00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271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SERINGA 5 ML C/ AGULHA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0,1700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1.700,00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272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SERINGA 5 ML S/ AGULHA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0,1190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2.380,00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2.380,00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11.900,00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275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SOLUÇÃO DE SHILLER 1000 ML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28,9000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1.156,00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1.156,00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5.780,00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276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FOLEY 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325,00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325,00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1.625,00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278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FOLEY 12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2,1300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213,00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213,00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1.065,00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279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FOLEY 14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2,1300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2.130,00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280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FOLEY 16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2,1300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2.130,00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281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FOLEY 18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2,1300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2.130,00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282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FOLEY 20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2,1300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426,00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2.130,00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291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PARA ALIMENTAÇÃO ENTERAL ADULTO 12 FR 120 CM. POLIURETANO.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8,0400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8.040,00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8.040,00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40.200,00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292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PARA ASPIRAÇÃO Nº08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0,3780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3.780,00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3.780,00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18.900,00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293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URETRAL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0,3490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17,45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17,45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87,25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294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URETRAL 06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0,3500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17,50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17,50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87,50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295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URETRAL 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0,3600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5.400,00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296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URETRAL 10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0,3790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1.895,00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1.895,00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9.475,00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297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URETRAL 12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0,3840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6.912,00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18000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6.912,00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90000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34.560,00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298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SONDA URETRAL 14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0,4290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429,00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2.145,00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SUPORTE PARA COLETOR DE PERFUROCORTANTE 13 LITROS 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29,0000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870,00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870,00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4.350,00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TALA ARAMADA MOLDÁVEL PARA IMOBILIZAÇÃO DE MEMBROS - DE ARAME GALVANIZADO RECOBERTAS EXTERNAMENTE COM ESPUMA DE POLIURETANO FLEXÍVEL, ESPUMA DE POLIURETANO SEMI </w:t>
            </w: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RÍGIDA EM AMBAS AS FACES, TAMANHO P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5,6000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280,00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1.400,00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304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TALA ARAMADA MOLDÁVEL PARA IMOBILIZAÇÃO DE MEMBROS - DE ARAME GALVANIZADO RECOBERTAS EXTERNAMENTE COM ESPUMA DE POLIURETANO FLEXÍVEL, ESPUMA DE POLIURETANO SEMI RÍGIDA EM AMBAS AS FACES, TAMANHO G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9,5800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191,60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191,60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958,00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TALA ARAMADA MOLDÁVEL PARA IMOBILIZAÇÃO DE MEMBROS - DE ARAME GALVANIZADO RECOBERTAS EXTERNAMENTE COM ESPUMA DE POLIURETANO FLEXÍVEL, ESPUMA DE POLIURETANO SEMI RÍGIDA EM AMBAS AS FACES, TAMANHO M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6,9500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139,00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695,00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TALA ARAMADA MOLDÁVEL PARA IMOBILIZAÇÃO DE MEMBROS - DE ARAME GALVANIZADO RECOBERTAS EXTERNAMENTE COM ESPUMA DE POLIURETANO FLEXÍVEL, ESPUMA DE POLIURETANO SEMI RÍGIDA EM AMBAS AS FACES, TAMANHO GG.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13,3600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267,20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267,20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1.336,00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TERMÔMETRO CLÍNICO DIGITAL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8,1600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195,84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195,84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979,20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TERMÔMETRO DE CABO EXTENSOR DIGITAL MÁX E MIN PARA GELADEIRA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37,5000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2.250,00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TERMÔMETRO PARA O AMBIENTE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23,4000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140,40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140,40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702,00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318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TINTURA DE BENJOIM 1000 ML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56,3500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1.690,50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1.690,50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8.452,50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322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TREE WAY -TORNEIRINHA 3 VIAS INFUSOR Torneirinha descartável 3 vias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0,5690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113,80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113,80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569,00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323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TUBO DE SILICONE PARA OXIGÊNIO, ALTAMENTE TRANSLÚCIDO, RE-ESTERILIZÁVEL EM AUTOCLAVE, BIOCOMPATÍVEL, HIPOALERGÊNICO, ANTIADERENTE E HIDROFÓBIO. UTILIZADO PARA DRENAGEM, SUCÇÃO, E OXIGENOTERAPIA. TAMANHO N° 05, PACOTE COM 15 METROS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129,5000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12.950,00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12.950,00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64.750,00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324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10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lastRenderedPageBreak/>
              <w:t>327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3,0 COMBALONETE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328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3,5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329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4,0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4,5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5,0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5,5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6,0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6,5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7,5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2,9700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148,50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148,50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742,50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8,0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8,5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339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TUBO ENDOTRAQUEAL 9,0 COM BALONETE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340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TUBO ENDOTRAQUEAL 9,5 COM BALONETE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3,2000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800,00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343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 xml:space="preserve">UMIDIFICADOR PARA BALA DE OXIGÊNIO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13,3500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400,50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400,50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2.002,50</w:t>
            </w:r>
          </w:p>
        </w:tc>
      </w:tr>
      <w:tr w:rsidR="001923E3" w:rsidRPr="001923E3" w:rsidTr="001923E3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344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VASELINA LIQUIDA 1000 ML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10,7900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215,80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215,80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1923E3" w:rsidRPr="001923E3" w:rsidRDefault="001923E3" w:rsidP="001923E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923E3">
              <w:rPr>
                <w:rFonts w:ascii="Verdana" w:hAnsi="Verdana" w:cs="Times New Roman"/>
                <w:sz w:val="14"/>
                <w:szCs w:val="14"/>
              </w:rPr>
              <w:t>1.079,00</w:t>
            </w:r>
          </w:p>
        </w:tc>
      </w:tr>
    </w:tbl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OBJETO: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VALIDADE DO REGISTRO DE PREÇOS</w:t>
      </w: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lastRenderedPageBreak/>
        <w:t xml:space="preserve">03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UTILIZAÇÃO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04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PREÇO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o presente instrumento de compromisso.</w:t>
      </w: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 xml:space="preserve"> pelas empresas detentoras da presente Ata, as quais também a integram.</w:t>
      </w: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05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LOCAL E PRAZO DE ENTREGA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local da entrega, em cada fornecimento, será o constante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06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PAGAMENTO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em até 30 (trinta) dias após recebimento </w:t>
      </w:r>
      <w:r w:rsidRPr="00781858">
        <w:rPr>
          <w:rFonts w:ascii="Verdana" w:hAnsi="Verdana"/>
          <w:color w:val="000000"/>
          <w:sz w:val="21"/>
          <w:szCs w:val="21"/>
        </w:rPr>
        <w:t>definitivo pela unidade requisitante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 do objeto, </w:t>
      </w:r>
      <w:r w:rsidRPr="00781858">
        <w:rPr>
          <w:rFonts w:ascii="Verdana" w:hAnsi="Verdana"/>
          <w:color w:val="000000"/>
          <w:sz w:val="21"/>
          <w:szCs w:val="21"/>
        </w:rPr>
        <w:t>mediante apresentação da Nota Fiscal.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I= (TX/100)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I x N x VP, onde: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= Índice de atualização financeira;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TX = Percentual da taxa de juros de mora anual;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Encargos moratórios;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N = Número de dias entre a data prevista para o pagamento e a do efetivo pagamento;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VP = Valor da parcela em atraso.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07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FORNECIMENTO</w:t>
      </w: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08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PENALIDADES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124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á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A) Advertência;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lastRenderedPageBreak/>
        <w:t>B) Multa de 0,3% (três décimos por cento) por dia, até o 10</w:t>
      </w:r>
      <w:r w:rsidRPr="00781858">
        <w:rPr>
          <w:rFonts w:ascii="Verdana" w:hAnsi="Verdana" w:cs="Arial"/>
          <w:color w:val="000000"/>
          <w:sz w:val="21"/>
          <w:szCs w:val="21"/>
          <w:u w:val="single"/>
          <w:vertAlign w:val="superscript"/>
        </w:rPr>
        <w:t>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(décimo) dia de atraso, da entrega do produto, sobre o valor da parcela, por ocorrência;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Multa de 20% (vinte por cento) sobre o valor do contrato, nos casos: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a) inobservância do nível de qualidade dos fornecimentos;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transferência total ou parcial do contrato a terceiros;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subcontratação no todo ou em parte do objeto sem prévia autorização formal da Contratante;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descumprimento de cláusula contratual.</w:t>
      </w: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- </w:t>
      </w:r>
      <w:r w:rsidRPr="00781858">
        <w:rPr>
          <w:rFonts w:ascii="Verdana" w:hAnsi="Verdana"/>
          <w:bCs/>
          <w:color w:val="000000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781858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09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DOS REAJUSTAMENTOS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10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RECEBIMENTO DO OBJETO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CANCELAMENTO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cancelada, de pleno direito:</w:t>
      </w: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Pela Administração, quando: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detentora não cumprir as obrigações constantes desta Ata de Registro de Preços;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B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C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D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registrados se apresentarem superiores aos praticados no mercado;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F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G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b/>
          <w:color w:val="000000"/>
          <w:sz w:val="21"/>
          <w:szCs w:val="21"/>
        </w:rPr>
        <w:t>Pelas detentoras, quando</w:t>
      </w:r>
      <w:r w:rsidRPr="00781858">
        <w:rPr>
          <w:rFonts w:ascii="Verdana" w:hAnsi="Verdana" w:cs="Arial"/>
          <w:color w:val="000000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7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lastRenderedPageBreak/>
        <w:t xml:space="preserve">12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AUTORIZAÇÃO PARA FORNECIMENTO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</w:t>
      </w:r>
      <w:r w:rsidRPr="00781858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</w:r>
      <w:r w:rsidRPr="00781858">
        <w:rPr>
          <w:rFonts w:ascii="Verdana" w:hAnsi="Verdana"/>
          <w:color w:val="000000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13- DAS DISPOSIÇÕES FINAIS</w:t>
      </w: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14.1. Integram esta Ata, o edital do Pregão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e as propostas das empresas classificadas no certame supranumerado.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14.2. Fica eleito o foro desta Comarca de Pitangui/MG para dirimir quaisquer questões decorrentes da utilização da presente Ata.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14.3. Os casos omissos serão resolvidos de acordo com a Lei Federal 8.666/93, </w:t>
      </w:r>
      <w:bookmarkStart w:id="0" w:name="_GoBack"/>
      <w:r w:rsidRPr="00781858">
        <w:rPr>
          <w:rFonts w:ascii="Verdana" w:hAnsi="Verdana"/>
          <w:color w:val="000000"/>
          <w:sz w:val="21"/>
          <w:szCs w:val="21"/>
        </w:rPr>
        <w:t>Lei 10.520/02 e demais normas aplicáveis. Subsidiariamente, aplicar-se-ão os princípios gerais de Direito.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Papagaios</w:t>
      </w:r>
      <w:r w:rsidR="00CD6E23">
        <w:rPr>
          <w:rFonts w:ascii="Verdana" w:hAnsi="Verdana"/>
          <w:color w:val="000000"/>
          <w:sz w:val="21"/>
          <w:szCs w:val="21"/>
        </w:rPr>
        <w:t>, 11 de junho de 2018.</w:t>
      </w: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D67E2D" w:rsidRPr="000812B0" w:rsidRDefault="00D67E2D" w:rsidP="00D67E2D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D67E2D" w:rsidRPr="000812B0" w:rsidRDefault="00D67E2D" w:rsidP="00D67E2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D67E2D" w:rsidRPr="000812B0" w:rsidRDefault="00D67E2D" w:rsidP="00D67E2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0812B0">
        <w:rPr>
          <w:rFonts w:ascii="Verdana" w:hAnsi="Verdana" w:cs="Arial"/>
          <w:sz w:val="21"/>
          <w:szCs w:val="21"/>
        </w:rPr>
        <w:t>Filgueiras</w:t>
      </w:r>
      <w:proofErr w:type="spellEnd"/>
    </w:p>
    <w:p w:rsidR="00D67E2D" w:rsidRPr="000812B0" w:rsidRDefault="00D67E2D" w:rsidP="00D67E2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D67E2D" w:rsidRDefault="00D67E2D" w:rsidP="00D67E2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D67E2D" w:rsidRPr="000812B0" w:rsidRDefault="00D67E2D" w:rsidP="00D67E2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D67E2D" w:rsidRPr="000812B0" w:rsidRDefault="00D67E2D" w:rsidP="00D67E2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 w:rsidRPr="000812B0">
        <w:rPr>
          <w:rFonts w:ascii="Verdana" w:hAnsi="Verdana" w:cs="Arial"/>
          <w:sz w:val="21"/>
          <w:szCs w:val="21"/>
        </w:rPr>
        <w:t>Med</w:t>
      </w:r>
      <w:proofErr w:type="spellEnd"/>
      <w:r w:rsidRPr="000812B0">
        <w:rPr>
          <w:rFonts w:ascii="Verdana" w:hAnsi="Verdana" w:cs="Arial"/>
          <w:sz w:val="21"/>
          <w:szCs w:val="21"/>
        </w:rPr>
        <w:t xml:space="preserve"> Center Comercial </w:t>
      </w:r>
      <w:proofErr w:type="spellStart"/>
      <w:r w:rsidRPr="000812B0">
        <w:rPr>
          <w:rFonts w:ascii="Verdana" w:hAnsi="Verdana" w:cs="Arial"/>
          <w:sz w:val="21"/>
          <w:szCs w:val="21"/>
        </w:rPr>
        <w:t>Ltda</w:t>
      </w:r>
      <w:proofErr w:type="spellEnd"/>
    </w:p>
    <w:p w:rsidR="00D67E2D" w:rsidRPr="000812B0" w:rsidRDefault="00D67E2D" w:rsidP="00D67E2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CNPJ/MF 00.874.929/0001-40</w:t>
      </w:r>
    </w:p>
    <w:bookmarkEnd w:id="0"/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sectPr w:rsidR="00961925" w:rsidRPr="0078185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47" w:rsidRDefault="00897147">
      <w:r>
        <w:separator/>
      </w:r>
    </w:p>
  </w:endnote>
  <w:endnote w:type="continuationSeparator" w:id="0">
    <w:p w:rsidR="00897147" w:rsidRDefault="008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7B" w:rsidRDefault="000E427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47" w:rsidRDefault="00897147">
      <w:r>
        <w:separator/>
      </w:r>
    </w:p>
  </w:footnote>
  <w:footnote w:type="continuationSeparator" w:id="0">
    <w:p w:rsidR="00897147" w:rsidRDefault="0089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E427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E427B" w:rsidRDefault="000E42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E427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E427B" w:rsidRDefault="000E427B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13"/>
  </w:num>
  <w:num w:numId="13">
    <w:abstractNumId w:val="2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5"/>
  </w:num>
  <w:num w:numId="19">
    <w:abstractNumId w:val="10"/>
  </w:num>
  <w:num w:numId="20">
    <w:abstractNumId w:val="12"/>
  </w:num>
  <w:num w:numId="21">
    <w:abstractNumId w:val="2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1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2433"/>
    <w:rsid w:val="000770C1"/>
    <w:rsid w:val="00083DD1"/>
    <w:rsid w:val="0008701C"/>
    <w:rsid w:val="00095633"/>
    <w:rsid w:val="000E427B"/>
    <w:rsid w:val="000E479B"/>
    <w:rsid w:val="0010144B"/>
    <w:rsid w:val="001923E3"/>
    <w:rsid w:val="001A15A9"/>
    <w:rsid w:val="001A5F93"/>
    <w:rsid w:val="001B5D1E"/>
    <w:rsid w:val="001D46C5"/>
    <w:rsid w:val="00200713"/>
    <w:rsid w:val="00210FD8"/>
    <w:rsid w:val="00247BEF"/>
    <w:rsid w:val="0027092D"/>
    <w:rsid w:val="002770C2"/>
    <w:rsid w:val="002A01B8"/>
    <w:rsid w:val="002C36F6"/>
    <w:rsid w:val="002C5D24"/>
    <w:rsid w:val="00301908"/>
    <w:rsid w:val="00305E4E"/>
    <w:rsid w:val="003102B1"/>
    <w:rsid w:val="003209D5"/>
    <w:rsid w:val="003243CA"/>
    <w:rsid w:val="003457EA"/>
    <w:rsid w:val="00346EE3"/>
    <w:rsid w:val="0039711B"/>
    <w:rsid w:val="003B0F42"/>
    <w:rsid w:val="003C6857"/>
    <w:rsid w:val="003C72FB"/>
    <w:rsid w:val="003D1005"/>
    <w:rsid w:val="003F46E8"/>
    <w:rsid w:val="003F55D1"/>
    <w:rsid w:val="004114C2"/>
    <w:rsid w:val="004526D9"/>
    <w:rsid w:val="004539B5"/>
    <w:rsid w:val="00460ED7"/>
    <w:rsid w:val="004868C0"/>
    <w:rsid w:val="004C0E65"/>
    <w:rsid w:val="004E220D"/>
    <w:rsid w:val="004E6A8A"/>
    <w:rsid w:val="004F10A0"/>
    <w:rsid w:val="004F29E5"/>
    <w:rsid w:val="004F42C4"/>
    <w:rsid w:val="004F7F5C"/>
    <w:rsid w:val="005012C1"/>
    <w:rsid w:val="005101A8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B7A03"/>
    <w:rsid w:val="006C3979"/>
    <w:rsid w:val="006E6552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65AE6"/>
    <w:rsid w:val="008763DC"/>
    <w:rsid w:val="00891BB4"/>
    <w:rsid w:val="00897147"/>
    <w:rsid w:val="008A4BCA"/>
    <w:rsid w:val="008C2938"/>
    <w:rsid w:val="008E594C"/>
    <w:rsid w:val="00934867"/>
    <w:rsid w:val="009615FB"/>
    <w:rsid w:val="00961925"/>
    <w:rsid w:val="00980456"/>
    <w:rsid w:val="009B1C3D"/>
    <w:rsid w:val="00A15133"/>
    <w:rsid w:val="00A151B3"/>
    <w:rsid w:val="00A23322"/>
    <w:rsid w:val="00A309C3"/>
    <w:rsid w:val="00A31AC8"/>
    <w:rsid w:val="00A33EC6"/>
    <w:rsid w:val="00A61E0C"/>
    <w:rsid w:val="00A644AA"/>
    <w:rsid w:val="00A71E72"/>
    <w:rsid w:val="00AC65DE"/>
    <w:rsid w:val="00AD0F4F"/>
    <w:rsid w:val="00AD2662"/>
    <w:rsid w:val="00B00BE4"/>
    <w:rsid w:val="00B27EB9"/>
    <w:rsid w:val="00B328B9"/>
    <w:rsid w:val="00B92C88"/>
    <w:rsid w:val="00BA129C"/>
    <w:rsid w:val="00BA3FC8"/>
    <w:rsid w:val="00BA623F"/>
    <w:rsid w:val="00BD06EE"/>
    <w:rsid w:val="00C31066"/>
    <w:rsid w:val="00C513D4"/>
    <w:rsid w:val="00C80443"/>
    <w:rsid w:val="00C92450"/>
    <w:rsid w:val="00CD19D5"/>
    <w:rsid w:val="00CD6E23"/>
    <w:rsid w:val="00CE7F25"/>
    <w:rsid w:val="00D17C0D"/>
    <w:rsid w:val="00D358F0"/>
    <w:rsid w:val="00D55E83"/>
    <w:rsid w:val="00D67E2D"/>
    <w:rsid w:val="00DC18A7"/>
    <w:rsid w:val="00DE3EED"/>
    <w:rsid w:val="00DE67DD"/>
    <w:rsid w:val="00DF1244"/>
    <w:rsid w:val="00DF46D5"/>
    <w:rsid w:val="00E36F66"/>
    <w:rsid w:val="00E83D4F"/>
    <w:rsid w:val="00EB2761"/>
    <w:rsid w:val="00F04523"/>
    <w:rsid w:val="00F07077"/>
    <w:rsid w:val="00F1182B"/>
    <w:rsid w:val="00F255A0"/>
    <w:rsid w:val="00F263B2"/>
    <w:rsid w:val="00F32291"/>
    <w:rsid w:val="00F51799"/>
    <w:rsid w:val="00F858CD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4540</Words>
  <Characters>24521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5</cp:revision>
  <cp:lastPrinted>2018-07-09T17:17:00Z</cp:lastPrinted>
  <dcterms:created xsi:type="dcterms:W3CDTF">2018-07-23T15:46:00Z</dcterms:created>
  <dcterms:modified xsi:type="dcterms:W3CDTF">2018-07-23T15:59:00Z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