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643362" w:rsidRDefault="000E71A7" w:rsidP="000E71A7">
      <w:pPr>
        <w:pageBreakBefore/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b/>
          <w:sz w:val="21"/>
          <w:szCs w:val="21"/>
        </w:rPr>
        <w:t xml:space="preserve">PROCESSO LICITATÓRIO Nº </w:t>
      </w:r>
      <w:r w:rsidR="0067722B">
        <w:rPr>
          <w:rFonts w:ascii="Verdana" w:hAnsi="Verdana" w:cs="Verdana"/>
          <w:b/>
          <w:sz w:val="21"/>
          <w:szCs w:val="21"/>
        </w:rPr>
        <w:t>117/2017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67722B">
        <w:rPr>
          <w:rFonts w:ascii="Verdana" w:hAnsi="Verdana" w:cs="Arial"/>
          <w:b/>
          <w:sz w:val="21"/>
          <w:szCs w:val="21"/>
        </w:rPr>
        <w:t>066/2017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1"/>
          <w:szCs w:val="21"/>
          <w:u w:val="single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ATA DE REGISTRO DE PREÇOS Nº </w:t>
      </w:r>
      <w:r w:rsidR="00D52DED">
        <w:rPr>
          <w:rFonts w:ascii="Verdana" w:hAnsi="Verdana" w:cs="Arial"/>
          <w:sz w:val="21"/>
          <w:szCs w:val="21"/>
        </w:rPr>
        <w:t>054</w:t>
      </w:r>
      <w:r w:rsidRPr="00643362">
        <w:rPr>
          <w:rFonts w:ascii="Verdana" w:hAnsi="Verdana" w:cs="Arial"/>
          <w:sz w:val="21"/>
          <w:szCs w:val="21"/>
        </w:rPr>
        <w:t>/2017.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PREGÃO Nº </w:t>
      </w:r>
      <w:r w:rsidR="0067722B">
        <w:rPr>
          <w:rFonts w:ascii="Verdana" w:hAnsi="Verdana" w:cs="Arial"/>
          <w:sz w:val="21"/>
          <w:szCs w:val="21"/>
        </w:rPr>
        <w:t>117/2017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PROCESSO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VALIDADE: 12 meses.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Aos </w:t>
      </w:r>
      <w:r w:rsidR="009701BF">
        <w:rPr>
          <w:rFonts w:ascii="Verdana" w:hAnsi="Verdana" w:cs="Arial"/>
          <w:sz w:val="21"/>
          <w:szCs w:val="21"/>
        </w:rPr>
        <w:t>30 (trinta)</w:t>
      </w:r>
      <w:r w:rsidRPr="00643362">
        <w:rPr>
          <w:rFonts w:ascii="Verdana" w:hAnsi="Verdana" w:cs="Arial"/>
          <w:sz w:val="21"/>
          <w:szCs w:val="21"/>
        </w:rPr>
        <w:t xml:space="preserve"> dias do mês de </w:t>
      </w:r>
      <w:r w:rsidR="009701BF">
        <w:rPr>
          <w:rFonts w:ascii="Verdana" w:hAnsi="Verdana" w:cs="Arial"/>
          <w:sz w:val="21"/>
          <w:szCs w:val="21"/>
        </w:rPr>
        <w:t>agosto</w:t>
      </w:r>
      <w:r w:rsidRPr="00643362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9701BF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643362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701BF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701BF">
        <w:rPr>
          <w:rFonts w:ascii="Verdana" w:hAnsi="Verdana" w:cs="Arial"/>
          <w:sz w:val="21"/>
          <w:szCs w:val="21"/>
        </w:rPr>
        <w:t>Filgueiras</w:t>
      </w:r>
      <w:proofErr w:type="spellEnd"/>
      <w:r w:rsidRPr="00643362">
        <w:rPr>
          <w:rFonts w:ascii="Verdana" w:hAnsi="Verdana" w:cs="Arial"/>
          <w:sz w:val="21"/>
          <w:szCs w:val="21"/>
        </w:rPr>
        <w:t>, nos termos do art. 15 da Lei Federal 8.666/93, da Lei 10.250/</w:t>
      </w:r>
      <w:r>
        <w:rPr>
          <w:rFonts w:ascii="Verdana" w:hAnsi="Verdana" w:cs="Arial"/>
          <w:sz w:val="21"/>
          <w:szCs w:val="21"/>
        </w:rPr>
        <w:t>20</w:t>
      </w:r>
      <w:r w:rsidRPr="00643362">
        <w:rPr>
          <w:rFonts w:ascii="Verdana" w:hAnsi="Verdana" w:cs="Arial"/>
          <w:sz w:val="21"/>
          <w:szCs w:val="21"/>
        </w:rPr>
        <w:t xml:space="preserve">02, das demais normas legais aplicáveis, em face da classificação das propostas apresentadas no PREGÃO PARA REGISTRO DE PREÇOS Nº </w:t>
      </w:r>
      <w:r w:rsidR="0067722B">
        <w:rPr>
          <w:rFonts w:ascii="Verdana" w:hAnsi="Verdana" w:cs="Arial"/>
          <w:sz w:val="21"/>
          <w:szCs w:val="21"/>
        </w:rPr>
        <w:t>117/2017</w:t>
      </w:r>
      <w:r w:rsidRPr="00643362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67722B">
        <w:rPr>
          <w:rFonts w:ascii="Verdana" w:hAnsi="Verdana" w:cs="Arial"/>
          <w:sz w:val="21"/>
          <w:szCs w:val="21"/>
        </w:rPr>
        <w:t>117/2017</w:t>
      </w:r>
      <w:r w:rsidRPr="00643362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3702B1" w:rsidRPr="003702B1">
        <w:rPr>
          <w:rFonts w:ascii="Verdana" w:hAnsi="Verdana" w:cs="Arial"/>
          <w:b/>
          <w:sz w:val="21"/>
          <w:szCs w:val="21"/>
        </w:rPr>
        <w:t>MASTERINFOR COMERCIAL E SERVIÇOS LTDA ME</w:t>
      </w:r>
      <w:r w:rsidRPr="00643362">
        <w:rPr>
          <w:rFonts w:ascii="Verdana" w:hAnsi="Verdana" w:cs="Arial"/>
          <w:sz w:val="21"/>
          <w:szCs w:val="21"/>
        </w:rPr>
        <w:t xml:space="preserve">, localizado na </w:t>
      </w:r>
      <w:r w:rsidR="003702B1">
        <w:rPr>
          <w:rFonts w:ascii="Verdana" w:hAnsi="Verdana" w:cs="Arial"/>
          <w:sz w:val="21"/>
          <w:szCs w:val="21"/>
        </w:rPr>
        <w:t>Avenida Augusto de Limas, nº. 233, Sala 1532, Centro, Belo Horizonte/MG, CEP 30.190-000</w:t>
      </w:r>
      <w:r w:rsidRPr="00643362">
        <w:rPr>
          <w:rFonts w:ascii="Verdana" w:hAnsi="Verdana" w:cs="Arial"/>
          <w:sz w:val="21"/>
          <w:szCs w:val="21"/>
        </w:rPr>
        <w:t xml:space="preserve">, cujo CNPJ é </w:t>
      </w:r>
      <w:r w:rsidR="003702B1">
        <w:rPr>
          <w:rFonts w:ascii="Verdana" w:hAnsi="Verdana" w:cs="Arial"/>
          <w:sz w:val="21"/>
          <w:szCs w:val="21"/>
        </w:rPr>
        <w:t>19.454.333/0001-19</w:t>
      </w:r>
      <w:r w:rsidRPr="00643362">
        <w:rPr>
          <w:rFonts w:ascii="Verdana" w:hAnsi="Verdana" w:cs="Arial"/>
          <w:sz w:val="21"/>
          <w:szCs w:val="21"/>
        </w:rPr>
        <w:t xml:space="preserve">, neste ato representado por </w:t>
      </w:r>
      <w:r w:rsidR="003702B1">
        <w:rPr>
          <w:rFonts w:ascii="Verdana" w:hAnsi="Verdana" w:cs="Arial"/>
          <w:sz w:val="21"/>
          <w:szCs w:val="21"/>
        </w:rPr>
        <w:t xml:space="preserve">Marcos Paulo de Melo </w:t>
      </w:r>
      <w:proofErr w:type="spellStart"/>
      <w:r w:rsidR="003702B1">
        <w:rPr>
          <w:rFonts w:ascii="Verdana" w:hAnsi="Verdana" w:cs="Arial"/>
          <w:sz w:val="21"/>
          <w:szCs w:val="21"/>
        </w:rPr>
        <w:t>Kern</w:t>
      </w:r>
      <w:proofErr w:type="spellEnd"/>
      <w:r w:rsidR="003702B1">
        <w:rPr>
          <w:rFonts w:ascii="Verdana" w:hAnsi="Verdana" w:cs="Arial"/>
          <w:sz w:val="21"/>
          <w:szCs w:val="21"/>
        </w:rPr>
        <w:t>, inscrito no CPF/MF sob o nº. 116.598.056-86</w:t>
      </w:r>
      <w:r w:rsidRPr="00643362">
        <w:rPr>
          <w:rFonts w:ascii="Verdana" w:hAnsi="Verdana" w:cs="Arial"/>
          <w:sz w:val="21"/>
          <w:szCs w:val="21"/>
        </w:rPr>
        <w:t>, conforme quadro abaixo:</w:t>
      </w:r>
    </w:p>
    <w:p w:rsidR="000E71A7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8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48"/>
        <w:gridCol w:w="787"/>
        <w:gridCol w:w="1206"/>
        <w:gridCol w:w="776"/>
        <w:gridCol w:w="787"/>
        <w:gridCol w:w="776"/>
        <w:gridCol w:w="787"/>
        <w:gridCol w:w="865"/>
      </w:tblGrid>
      <w:tr w:rsidR="003702B1" w:rsidRPr="003702B1" w:rsidTr="003702B1">
        <w:trPr>
          <w:trHeight w:val="1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5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8157 DN TR CB 750 TN 620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42,5000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21.250,00</w:t>
            </w: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Oki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mb491 toner 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Okidata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B431 / B491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74,0000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3.700,00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3.700,00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18.500,00</w:t>
            </w: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Phaser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3125 – 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Phaser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3117/3122 D1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44,5000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1.602,00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1.602,00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8.010,00</w:t>
            </w: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– DCP 8152 – TN 750 e TN 650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42,5000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4.250,00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21.250,00</w:t>
            </w:r>
          </w:p>
        </w:tc>
      </w:tr>
      <w:tr w:rsidR="003702B1" w:rsidRPr="003702B1" w:rsidTr="003702B1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Cartucho/</w:t>
            </w:r>
            <w:proofErr w:type="spellStart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tonner</w:t>
            </w:r>
            <w:proofErr w:type="spellEnd"/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para impressora Brother – TN 620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right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42,4000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4.240,00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2B1" w:rsidRPr="003702B1" w:rsidRDefault="003702B1" w:rsidP="003702B1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3702B1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21.200,00</w:t>
            </w:r>
          </w:p>
        </w:tc>
      </w:tr>
    </w:tbl>
    <w:p w:rsidR="003702B1" w:rsidRPr="00643362" w:rsidRDefault="003702B1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01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sz w:val="21"/>
          <w:szCs w:val="21"/>
        </w:rPr>
        <w:t xml:space="preserve">I </w:t>
      </w:r>
      <w:r w:rsidRPr="00643362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02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0E71A7" w:rsidRPr="00643362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03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04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0E71A7" w:rsidRPr="00643362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0E71A7" w:rsidRPr="00643362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05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06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643362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643362">
        <w:rPr>
          <w:rFonts w:ascii="Verdana" w:hAnsi="Verdana" w:cs="Arial"/>
          <w:sz w:val="21"/>
          <w:szCs w:val="21"/>
        </w:rPr>
        <w:t>definitivo pela unidade requisitante</w:t>
      </w:r>
      <w:r w:rsidRPr="00643362">
        <w:rPr>
          <w:rFonts w:ascii="Verdana" w:hAnsi="Verdana" w:cs="Arial"/>
          <w:bCs/>
          <w:sz w:val="21"/>
          <w:szCs w:val="21"/>
        </w:rPr>
        <w:t xml:space="preserve"> do objeto, </w:t>
      </w:r>
      <w:r w:rsidRPr="00643362">
        <w:rPr>
          <w:rFonts w:ascii="Verdana" w:hAnsi="Verdana" w:cs="Arial"/>
          <w:sz w:val="21"/>
          <w:szCs w:val="21"/>
        </w:rPr>
        <w:t>mediante apresentação da Nota Fiscal.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- Nos casos de eventuais atrasos de pagamento não justificados, provocados exclusivamente pela Administração, o valor devido deverá ser acrescido de </w:t>
      </w:r>
      <w:r w:rsidRPr="00643362">
        <w:rPr>
          <w:rFonts w:ascii="Verdana" w:hAnsi="Verdana" w:cs="Arial"/>
          <w:sz w:val="21"/>
          <w:szCs w:val="21"/>
        </w:rPr>
        <w:lastRenderedPageBreak/>
        <w:t xml:space="preserve">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I= (TX/100)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EM = I x N x VP, onde: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EM = Encargos moratórios;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VP = Valor da parcela em atraso. 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07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0E71A7" w:rsidRPr="00643362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IV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VII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08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lastRenderedPageBreak/>
        <w:t xml:space="preserve">I - Recusando-se a vencedora a assinatura da ata sem motivo justificado, caracterizará o descumprimento total da obrigação assumida, sujeitando-se </w:t>
      </w:r>
      <w:proofErr w:type="spellStart"/>
      <w:r w:rsidRPr="00643362">
        <w:rPr>
          <w:rFonts w:ascii="Verdana" w:hAnsi="Verdana" w:cs="Arial"/>
          <w:sz w:val="21"/>
          <w:szCs w:val="21"/>
        </w:rPr>
        <w:t>á</w:t>
      </w:r>
      <w:proofErr w:type="spellEnd"/>
      <w:r w:rsidRPr="00643362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A - Advertência;</w:t>
      </w:r>
    </w:p>
    <w:p w:rsidR="000E71A7" w:rsidRPr="00643362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B - Multa de 0,3% (três décimos por cento) por dia, até o 10</w:t>
      </w:r>
      <w:r w:rsidRPr="00643362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643362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0E71A7" w:rsidRPr="00643362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D - Multa de 20% (vinte por cento) sobre o valor do contrato, nos casos: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d) descumprimento de cláusula contratual.</w:t>
      </w:r>
    </w:p>
    <w:p w:rsidR="000E71A7" w:rsidRPr="00643362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III - </w:t>
      </w:r>
      <w:r w:rsidRPr="00643362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Cs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643362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09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lastRenderedPageBreak/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10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0E71A7" w:rsidRPr="00643362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11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I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0E71A7" w:rsidRPr="00643362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>Pela Administração, quando: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643362">
        <w:rPr>
          <w:rFonts w:ascii="Verdana" w:hAnsi="Verdana" w:cs="Arial"/>
          <w:sz w:val="21"/>
          <w:szCs w:val="21"/>
        </w:rPr>
        <w:t>a</w:t>
      </w:r>
      <w:proofErr w:type="spellEnd"/>
      <w:r w:rsidRPr="00643362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B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C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D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643362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E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F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Verdana"/>
          <w:sz w:val="21"/>
          <w:szCs w:val="21"/>
        </w:rPr>
        <w:t xml:space="preserve">G </w:t>
      </w:r>
      <w:r w:rsidRPr="00643362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*no caso de ser ignorado, incerto ou inacessível o endereço da detentora, a comunicação será feita por publicação no órgão encarregado das publicações </w:t>
      </w:r>
      <w:r w:rsidRPr="00643362">
        <w:rPr>
          <w:rFonts w:ascii="Verdana" w:hAnsi="Verdana" w:cs="Arial"/>
          <w:sz w:val="21"/>
          <w:szCs w:val="21"/>
        </w:rPr>
        <w:lastRenderedPageBreak/>
        <w:t>oficiais do Município, considerando-se cancelado o preço registrado a partir da publicação.</w:t>
      </w:r>
    </w:p>
    <w:p w:rsidR="000E71A7" w:rsidRPr="00643362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>Pelas detentoras, quando</w:t>
      </w:r>
      <w:r w:rsidRPr="00643362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643362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A </w:t>
      </w:r>
      <w:r w:rsidRPr="00643362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643362">
        <w:rPr>
          <w:rFonts w:ascii="Verdana" w:hAnsi="Verdana" w:cs="Arial"/>
          <w:sz w:val="21"/>
          <w:szCs w:val="21"/>
        </w:rPr>
        <w:t>a</w:t>
      </w:r>
      <w:proofErr w:type="spellEnd"/>
      <w:r w:rsidRPr="00643362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643362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 xml:space="preserve">12 </w:t>
      </w:r>
      <w:r w:rsidRPr="00643362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Verdana"/>
          <w:b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I</w:t>
      </w:r>
      <w:r w:rsidRPr="00643362">
        <w:rPr>
          <w:rFonts w:ascii="Verdana" w:hAnsi="Verdana" w:cs="Arial"/>
          <w:b/>
          <w:sz w:val="21"/>
          <w:szCs w:val="21"/>
        </w:rPr>
        <w:t xml:space="preserve"> </w:t>
      </w:r>
      <w:r w:rsidRPr="00643362">
        <w:rPr>
          <w:rFonts w:ascii="Verdana" w:hAnsi="Verdana" w:cs="Arial"/>
          <w:b/>
          <w:sz w:val="21"/>
          <w:szCs w:val="21"/>
        </w:rPr>
        <w:noBreakHyphen/>
      </w:r>
      <w:r w:rsidRPr="00643362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b/>
          <w:sz w:val="21"/>
          <w:szCs w:val="21"/>
        </w:rPr>
        <w:t>13- DAS DISPOSIÇÕES FINAIS</w:t>
      </w:r>
    </w:p>
    <w:p w:rsidR="000E71A7" w:rsidRPr="00643362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1"/>
          <w:szCs w:val="21"/>
        </w:rPr>
      </w:pPr>
    </w:p>
    <w:p w:rsidR="000E71A7" w:rsidRPr="00643362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67722B">
        <w:rPr>
          <w:rFonts w:ascii="Verdana" w:hAnsi="Verdana" w:cs="Arial"/>
          <w:sz w:val="21"/>
          <w:szCs w:val="21"/>
        </w:rPr>
        <w:t>066/2017</w:t>
      </w:r>
      <w:r w:rsidRPr="00643362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0E71A7" w:rsidRPr="00643362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0E71A7" w:rsidRPr="00643362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Papagaios, </w:t>
      </w:r>
      <w:r w:rsidR="000D0FA5">
        <w:rPr>
          <w:rFonts w:ascii="Verdana" w:hAnsi="Verdana" w:cs="Arial"/>
          <w:sz w:val="21"/>
          <w:szCs w:val="21"/>
        </w:rPr>
        <w:t>30 de agosto de 2017</w:t>
      </w:r>
      <w:r w:rsidRPr="00643362">
        <w:rPr>
          <w:rFonts w:ascii="Verdana" w:hAnsi="Verdana" w:cs="Arial"/>
          <w:sz w:val="21"/>
          <w:szCs w:val="21"/>
        </w:rPr>
        <w:t>.</w:t>
      </w: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 w:rsidRPr="00643362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643362">
        <w:rPr>
          <w:rFonts w:ascii="Verdana" w:hAnsi="Verdana" w:cs="Arial"/>
          <w:sz w:val="21"/>
          <w:szCs w:val="21"/>
        </w:rPr>
        <w:t>Filgueiras</w:t>
      </w:r>
      <w:proofErr w:type="spellEnd"/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643362" w:rsidRDefault="000E71A7" w:rsidP="000E71A7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0E71A7" w:rsidRPr="00643362" w:rsidRDefault="000D0FA5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Materinfor</w:t>
      </w:r>
      <w:proofErr w:type="spellEnd"/>
      <w:r>
        <w:rPr>
          <w:rFonts w:ascii="Verdana" w:hAnsi="Verdana" w:cs="Arial"/>
          <w:sz w:val="21"/>
          <w:szCs w:val="21"/>
        </w:rPr>
        <w:t xml:space="preserve"> Comercial e Serviços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0E71A7" w:rsidRPr="00643362" w:rsidRDefault="000D0FA5" w:rsidP="000E71A7">
      <w:pPr>
        <w:pStyle w:val="Corpodetexto"/>
        <w:spacing w:after="0" w:line="200" w:lineRule="atLeast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19.454.333/0001-19</w:t>
      </w:r>
      <w:bookmarkStart w:id="0" w:name="_GoBack"/>
      <w:bookmarkEnd w:id="0"/>
    </w:p>
    <w:sectPr w:rsidR="000E71A7" w:rsidRPr="00643362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683E89" w:rsidP="000015CB">
    <w:pPr>
      <w:pStyle w:val="Rodap"/>
      <w:ind w:left="-142"/>
      <w:rPr>
        <w:sz w:val="20"/>
        <w:szCs w:val="20"/>
      </w:rPr>
    </w:pPr>
    <w:r w:rsidRPr="005C231D">
      <w:rPr>
        <w:sz w:val="20"/>
        <w:szCs w:val="20"/>
      </w:rPr>
      <w:t>RUA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D0FA5"/>
    <w:rsid w:val="000E71A7"/>
    <w:rsid w:val="00285A24"/>
    <w:rsid w:val="002936D7"/>
    <w:rsid w:val="002F68A3"/>
    <w:rsid w:val="00320D56"/>
    <w:rsid w:val="003702B1"/>
    <w:rsid w:val="004C2D12"/>
    <w:rsid w:val="004E6DCB"/>
    <w:rsid w:val="0050162C"/>
    <w:rsid w:val="005C231D"/>
    <w:rsid w:val="006620EE"/>
    <w:rsid w:val="0067722B"/>
    <w:rsid w:val="00683E89"/>
    <w:rsid w:val="006E7555"/>
    <w:rsid w:val="007B2225"/>
    <w:rsid w:val="007D2ED6"/>
    <w:rsid w:val="0081121D"/>
    <w:rsid w:val="008C2F41"/>
    <w:rsid w:val="009701BF"/>
    <w:rsid w:val="0097482B"/>
    <w:rsid w:val="00B53D45"/>
    <w:rsid w:val="00BE5B6A"/>
    <w:rsid w:val="00C12C5D"/>
    <w:rsid w:val="00D14190"/>
    <w:rsid w:val="00D52DED"/>
    <w:rsid w:val="00DF6B61"/>
    <w:rsid w:val="00E00126"/>
    <w:rsid w:val="00E033B9"/>
    <w:rsid w:val="00E33182"/>
    <w:rsid w:val="00EC050B"/>
    <w:rsid w:val="00E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1988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6</cp:revision>
  <cp:lastPrinted>2017-07-31T18:14:00Z</cp:lastPrinted>
  <dcterms:created xsi:type="dcterms:W3CDTF">2017-09-20T15:20:00Z</dcterms:created>
  <dcterms:modified xsi:type="dcterms:W3CDTF">2017-09-20T15:31:00Z</dcterms:modified>
</cp:coreProperties>
</file>