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3961A1" w:rsidRDefault="000E71A7" w:rsidP="000E71A7">
      <w:pPr>
        <w:pageBreakBefore/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Verdana"/>
          <w:b/>
          <w:sz w:val="21"/>
          <w:szCs w:val="21"/>
        </w:rPr>
        <w:t xml:space="preserve">PROCESSO LICITATÓRIO Nº </w:t>
      </w:r>
      <w:r w:rsidR="0067722B" w:rsidRPr="003961A1">
        <w:rPr>
          <w:rFonts w:ascii="Verdana" w:hAnsi="Verdana" w:cs="Verdana"/>
          <w:b/>
          <w:sz w:val="21"/>
          <w:szCs w:val="21"/>
        </w:rPr>
        <w:t>117/2017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67722B" w:rsidRPr="003961A1">
        <w:rPr>
          <w:rFonts w:ascii="Verdana" w:hAnsi="Verdana" w:cs="Arial"/>
          <w:b/>
          <w:sz w:val="21"/>
          <w:szCs w:val="21"/>
        </w:rPr>
        <w:t>066/2017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 w:cs="Verdana"/>
          <w:b/>
          <w:color w:val="auto"/>
          <w:sz w:val="21"/>
          <w:szCs w:val="21"/>
          <w:u w:val="single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ATA DE REGISTRO DE PREÇOS Nº </w:t>
      </w:r>
      <w:r w:rsidR="00D52DED" w:rsidRPr="003961A1">
        <w:rPr>
          <w:rFonts w:ascii="Verdana" w:hAnsi="Verdana" w:cs="Arial"/>
          <w:sz w:val="21"/>
          <w:szCs w:val="21"/>
        </w:rPr>
        <w:t>054</w:t>
      </w:r>
      <w:r w:rsidRPr="003961A1">
        <w:rPr>
          <w:rFonts w:ascii="Verdana" w:hAnsi="Verdana" w:cs="Arial"/>
          <w:sz w:val="21"/>
          <w:szCs w:val="21"/>
        </w:rPr>
        <w:t>/2017.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PREGÃO Nº </w:t>
      </w:r>
      <w:r w:rsidR="0067722B" w:rsidRPr="003961A1">
        <w:rPr>
          <w:rFonts w:ascii="Verdana" w:hAnsi="Verdana" w:cs="Arial"/>
          <w:sz w:val="21"/>
          <w:szCs w:val="21"/>
        </w:rPr>
        <w:t>117/2017</w:t>
      </w:r>
      <w:r w:rsidRPr="003961A1">
        <w:rPr>
          <w:rFonts w:ascii="Verdana" w:hAnsi="Verdana" w:cs="Arial"/>
          <w:sz w:val="21"/>
          <w:szCs w:val="21"/>
        </w:rPr>
        <w:t>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PROCESSO Nº </w:t>
      </w:r>
      <w:r w:rsidR="0067722B" w:rsidRPr="003961A1">
        <w:rPr>
          <w:rFonts w:ascii="Verdana" w:hAnsi="Verdana" w:cs="Arial"/>
          <w:sz w:val="21"/>
          <w:szCs w:val="21"/>
        </w:rPr>
        <w:t>066/2017</w:t>
      </w:r>
      <w:r w:rsidRPr="003961A1">
        <w:rPr>
          <w:rFonts w:ascii="Verdana" w:hAnsi="Verdana" w:cs="Arial"/>
          <w:sz w:val="21"/>
          <w:szCs w:val="21"/>
        </w:rPr>
        <w:t>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VALIDADE: 12 meses.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Aos </w:t>
      </w:r>
      <w:r w:rsidR="009701BF" w:rsidRPr="003961A1">
        <w:rPr>
          <w:rFonts w:ascii="Verdana" w:hAnsi="Verdana" w:cs="Arial"/>
          <w:sz w:val="21"/>
          <w:szCs w:val="21"/>
        </w:rPr>
        <w:t>30 (trinta)</w:t>
      </w:r>
      <w:r w:rsidRPr="003961A1">
        <w:rPr>
          <w:rFonts w:ascii="Verdana" w:hAnsi="Verdana" w:cs="Arial"/>
          <w:sz w:val="21"/>
          <w:szCs w:val="21"/>
        </w:rPr>
        <w:t xml:space="preserve"> dias do mês de </w:t>
      </w:r>
      <w:r w:rsidR="009701BF" w:rsidRPr="003961A1">
        <w:rPr>
          <w:rFonts w:ascii="Verdana" w:hAnsi="Verdana" w:cs="Arial"/>
          <w:sz w:val="21"/>
          <w:szCs w:val="21"/>
        </w:rPr>
        <w:t>agosto</w:t>
      </w:r>
      <w:r w:rsidRPr="003961A1">
        <w:rPr>
          <w:rFonts w:ascii="Verdana" w:hAnsi="Verdana" w:cs="Arial"/>
          <w:sz w:val="21"/>
          <w:szCs w:val="21"/>
        </w:rPr>
        <w:t xml:space="preserve"> de 2017, na sala de licitações, na sede da Prefeitura Municipal, situada na </w:t>
      </w:r>
      <w:r w:rsidR="009701BF" w:rsidRPr="003961A1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3961A1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701BF" w:rsidRPr="003961A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9701BF" w:rsidRPr="003961A1">
        <w:rPr>
          <w:rFonts w:ascii="Verdana" w:hAnsi="Verdana" w:cs="Arial"/>
          <w:sz w:val="21"/>
          <w:szCs w:val="21"/>
        </w:rPr>
        <w:t>Filgueiras</w:t>
      </w:r>
      <w:proofErr w:type="spellEnd"/>
      <w:r w:rsidRPr="003961A1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7722B" w:rsidRPr="003961A1">
        <w:rPr>
          <w:rFonts w:ascii="Verdana" w:hAnsi="Verdana" w:cs="Arial"/>
          <w:sz w:val="21"/>
          <w:szCs w:val="21"/>
        </w:rPr>
        <w:t>117/2017</w:t>
      </w:r>
      <w:r w:rsidRPr="003961A1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67722B" w:rsidRPr="003961A1">
        <w:rPr>
          <w:rFonts w:ascii="Verdana" w:hAnsi="Verdana" w:cs="Arial"/>
          <w:sz w:val="21"/>
          <w:szCs w:val="21"/>
        </w:rPr>
        <w:t>117/2017</w:t>
      </w:r>
      <w:r w:rsidRPr="003961A1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3961A1" w:rsidRPr="003961A1">
        <w:rPr>
          <w:rFonts w:ascii="Verdana" w:hAnsi="Verdana" w:cs="Arial"/>
          <w:b/>
          <w:sz w:val="21"/>
          <w:szCs w:val="21"/>
        </w:rPr>
        <w:t>JOÃO FRANCISCO BRAULIO 32952953791</w:t>
      </w:r>
      <w:r w:rsidR="003961A1" w:rsidRPr="003961A1">
        <w:rPr>
          <w:rFonts w:ascii="Verdana" w:hAnsi="Verdana" w:cs="Arial"/>
          <w:sz w:val="21"/>
          <w:szCs w:val="21"/>
        </w:rPr>
        <w:t xml:space="preserve">, localizado na Rua Joaquim, nº. 618, Centro, Mateus Leme/MG, CEP 35.670-000, cujo CNPJ é 27.845.560/0001-01, neste ato representado por </w:t>
      </w:r>
      <w:proofErr w:type="spellStart"/>
      <w:r w:rsidR="003961A1" w:rsidRPr="003961A1">
        <w:rPr>
          <w:rFonts w:ascii="Verdana" w:hAnsi="Verdana" w:cs="Arial"/>
          <w:sz w:val="21"/>
          <w:szCs w:val="21"/>
        </w:rPr>
        <w:t>Heder</w:t>
      </w:r>
      <w:proofErr w:type="spellEnd"/>
      <w:r w:rsidR="003961A1" w:rsidRPr="003961A1">
        <w:rPr>
          <w:rFonts w:ascii="Verdana" w:hAnsi="Verdana" w:cs="Arial"/>
          <w:sz w:val="21"/>
          <w:szCs w:val="21"/>
        </w:rPr>
        <w:t xml:space="preserve"> </w:t>
      </w:r>
      <w:proofErr w:type="spellStart"/>
      <w:r w:rsidR="003961A1" w:rsidRPr="003961A1">
        <w:rPr>
          <w:rFonts w:ascii="Verdana" w:hAnsi="Verdana" w:cs="Arial"/>
          <w:sz w:val="21"/>
          <w:szCs w:val="21"/>
        </w:rPr>
        <w:t>Magil</w:t>
      </w:r>
      <w:proofErr w:type="spellEnd"/>
      <w:r w:rsidR="003961A1" w:rsidRPr="003961A1">
        <w:rPr>
          <w:rFonts w:ascii="Verdana" w:hAnsi="Verdana" w:cs="Arial"/>
          <w:sz w:val="21"/>
          <w:szCs w:val="21"/>
        </w:rPr>
        <w:t xml:space="preserve"> Teixeira Gonzaga, inscrito no CPF/MF sob o nº. 042.018.796-07, conforme quadro abaixo</w:t>
      </w:r>
      <w:r w:rsidRPr="003961A1">
        <w:rPr>
          <w:rFonts w:ascii="Verdana" w:hAnsi="Verdana" w:cs="Arial"/>
          <w:sz w:val="21"/>
          <w:szCs w:val="21"/>
        </w:rPr>
        <w:t>:</w:t>
      </w:r>
    </w:p>
    <w:p w:rsidR="000E71A7" w:rsidRPr="003961A1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1485"/>
        <w:gridCol w:w="850"/>
        <w:gridCol w:w="1030"/>
        <w:gridCol w:w="1030"/>
        <w:gridCol w:w="850"/>
        <w:gridCol w:w="1030"/>
        <w:gridCol w:w="850"/>
        <w:gridCol w:w="1030"/>
      </w:tblGrid>
      <w:tr w:rsidR="00497C9B" w:rsidRPr="00497C9B" w:rsidTr="00497C9B">
        <w:trPr>
          <w:trHeight w:val="20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539" w:type="dxa"/>
            <w:gridSpan w:val="7"/>
            <w:shd w:val="clear" w:color="auto" w:fill="auto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497C9B" w:rsidRPr="00497C9B" w:rsidTr="00497C9B">
        <w:trPr>
          <w:trHeight w:val="20"/>
        </w:trPr>
        <w:tc>
          <w:tcPr>
            <w:tcW w:w="539" w:type="dxa"/>
            <w:vMerge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gridSpan w:val="3"/>
            <w:shd w:val="clear" w:color="000000" w:fill="BFBFB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539" w:type="dxa"/>
            <w:gridSpan w:val="2"/>
            <w:shd w:val="clear" w:color="000000" w:fill="BFBFB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539" w:type="dxa"/>
            <w:gridSpan w:val="2"/>
            <w:shd w:val="clear" w:color="000000" w:fill="BFBFB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497C9B" w:rsidRPr="00497C9B" w:rsidTr="00497C9B">
        <w:trPr>
          <w:trHeight w:val="170"/>
        </w:trPr>
        <w:tc>
          <w:tcPr>
            <w:tcW w:w="539" w:type="dxa"/>
            <w:vMerge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497C9B" w:rsidRPr="00497C9B" w:rsidTr="00497C9B">
        <w:trPr>
          <w:trHeight w:val="170"/>
        </w:trPr>
        <w:tc>
          <w:tcPr>
            <w:tcW w:w="539" w:type="dxa"/>
            <w:vMerge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</w:tr>
      <w:tr w:rsidR="00497C9B" w:rsidRPr="00497C9B" w:rsidTr="00497C9B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Brother MFC-8952 – TN 3392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400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42,5000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17.000,00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17.000,00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85.000,00</w:t>
            </w:r>
          </w:p>
        </w:tc>
      </w:tr>
      <w:tr w:rsidR="00497C9B" w:rsidRPr="00497C9B" w:rsidTr="00497C9B">
        <w:trPr>
          <w:trHeight w:val="20"/>
        </w:trPr>
        <w:tc>
          <w:tcPr>
            <w:tcW w:w="539" w:type="dxa"/>
            <w:shd w:val="clear" w:color="auto" w:fill="auto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</w:t>
            </w:r>
            <w:proofErr w:type="gram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impressora  HP</w:t>
            </w:r>
            <w:proofErr w:type="gram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LASER Jet P2055 DN -  HP laser 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jet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Print 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Cartridge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CE 505 A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34,0000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2.040,00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2.040,00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10.200,00</w:t>
            </w:r>
          </w:p>
        </w:tc>
      </w:tr>
      <w:tr w:rsidR="00497C9B" w:rsidRPr="00497C9B" w:rsidTr="00497C9B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laser 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jet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P2055 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Dn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– 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Hp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laser 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jet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print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Cartrige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CE 505A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34,0000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2.040,00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2.040,00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10.200,00</w:t>
            </w:r>
          </w:p>
        </w:tc>
      </w:tr>
      <w:tr w:rsidR="00497C9B" w:rsidRPr="00497C9B" w:rsidTr="00497C9B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Hp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2050 – Tri- 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colour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catrigge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122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37,0000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3.996,00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3.996,00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540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19.980,00</w:t>
            </w:r>
          </w:p>
        </w:tc>
      </w:tr>
      <w:tr w:rsidR="00497C9B" w:rsidRPr="00497C9B" w:rsidTr="00497C9B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Ricoh MP 1900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48,5000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4.850,00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4.850,00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24.250,00</w:t>
            </w:r>
          </w:p>
        </w:tc>
      </w:tr>
      <w:tr w:rsidR="00497C9B" w:rsidRPr="00497C9B" w:rsidTr="00497C9B">
        <w:trPr>
          <w:trHeight w:val="20"/>
        </w:trPr>
        <w:tc>
          <w:tcPr>
            <w:tcW w:w="539" w:type="dxa"/>
            <w:shd w:val="clear" w:color="auto" w:fill="auto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Brother MFC 8252 – TN 720/750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42,5000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4.250,00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4.250,00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21.250,00</w:t>
            </w:r>
          </w:p>
        </w:tc>
      </w:tr>
      <w:tr w:rsidR="00497C9B" w:rsidRPr="00497C9B" w:rsidTr="00497C9B">
        <w:trPr>
          <w:trHeight w:val="20"/>
        </w:trPr>
        <w:tc>
          <w:tcPr>
            <w:tcW w:w="539" w:type="dxa"/>
            <w:shd w:val="clear" w:color="auto" w:fill="auto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both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PROCESSADOR INTEL CORE i5 7ª GERAÇÃO, MODELO DO </w:t>
            </w: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lastRenderedPageBreak/>
              <w:t>PROCESSADOR BX80677157500; MEMÓRIA RAM 8GB DDR4 2133MHZ; PLACA MÃE ASUS MODELO Z170M-PLUS/BR OU SUPERIOR SOQUETE LGA 1151 OU SUPERIOR; HD SATA 6 Gb/s CACHE 64MB, ROTAÇÃO 7200RPM, CAPACIDADE 1TB; REDE GIGABIT ONBOARD; SOM ONBOARD; VGA ONBOARD; GABINETE BLACK PIANO COM 2 BAIAS E FONTE DE ENERGIA ATX MÍNIMO DE 430W REAL; DRIVE DVD/RW; SISTEMA OPERACIONAL WINDOWS 10 – GARANTIA MÍNIMA DE 1 ANO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lastRenderedPageBreak/>
              <w:t>50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2.240,0000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112.000,00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112.000,00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497C9B" w:rsidRPr="00497C9B" w:rsidRDefault="00497C9B" w:rsidP="00497C9B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497C9B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560.000,00</w:t>
            </w:r>
          </w:p>
        </w:tc>
      </w:tr>
    </w:tbl>
    <w:p w:rsidR="00497C9B" w:rsidRPr="003961A1" w:rsidRDefault="00497C9B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01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Verdana"/>
          <w:sz w:val="21"/>
          <w:szCs w:val="21"/>
        </w:rPr>
        <w:t xml:space="preserve">I </w:t>
      </w:r>
      <w:r w:rsidRPr="003961A1">
        <w:rPr>
          <w:rFonts w:ascii="Verdana" w:hAnsi="Verdana" w:cs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0E71A7" w:rsidRPr="003961A1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02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0E71A7" w:rsidRPr="003961A1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tabs>
          <w:tab w:val="right" w:pos="794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03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right" w:pos="240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04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7722B" w:rsidRPr="003961A1">
        <w:rPr>
          <w:rFonts w:ascii="Verdana" w:hAnsi="Verdana" w:cs="Arial"/>
          <w:sz w:val="21"/>
          <w:szCs w:val="21"/>
        </w:rPr>
        <w:t>066/2017</w:t>
      </w:r>
      <w:r w:rsidRPr="003961A1">
        <w:rPr>
          <w:rFonts w:ascii="Verdana" w:hAnsi="Verdana" w:cs="Arial"/>
          <w:sz w:val="21"/>
          <w:szCs w:val="21"/>
        </w:rPr>
        <w:t>.</w:t>
      </w:r>
    </w:p>
    <w:p w:rsidR="000E71A7" w:rsidRPr="003961A1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7722B" w:rsidRPr="003961A1">
        <w:rPr>
          <w:rFonts w:ascii="Verdana" w:hAnsi="Verdana" w:cs="Arial"/>
          <w:sz w:val="21"/>
          <w:szCs w:val="21"/>
        </w:rPr>
        <w:t>066/2017</w:t>
      </w:r>
      <w:r w:rsidRPr="003961A1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0E71A7" w:rsidRPr="003961A1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67722B" w:rsidRPr="003961A1">
        <w:rPr>
          <w:rFonts w:ascii="Verdana" w:hAnsi="Verdana" w:cs="Arial"/>
          <w:sz w:val="21"/>
          <w:szCs w:val="21"/>
        </w:rPr>
        <w:t>066/2017</w:t>
      </w:r>
      <w:r w:rsidRPr="003961A1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0E71A7" w:rsidRPr="003961A1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05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right" w:pos="322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06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961A1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3961A1">
        <w:rPr>
          <w:rFonts w:ascii="Verdana" w:hAnsi="Verdana" w:cs="Arial"/>
          <w:sz w:val="21"/>
          <w:szCs w:val="21"/>
        </w:rPr>
        <w:t>definitivo pela unidade requisitante</w:t>
      </w:r>
      <w:r w:rsidRPr="003961A1">
        <w:rPr>
          <w:rFonts w:ascii="Verdana" w:hAnsi="Verdana" w:cs="Arial"/>
          <w:bCs/>
          <w:sz w:val="21"/>
          <w:szCs w:val="21"/>
        </w:rPr>
        <w:t xml:space="preserve"> do objeto, </w:t>
      </w:r>
      <w:r w:rsidRPr="003961A1">
        <w:rPr>
          <w:rFonts w:ascii="Verdana" w:hAnsi="Verdana" w:cs="Arial"/>
          <w:sz w:val="21"/>
          <w:szCs w:val="21"/>
        </w:rPr>
        <w:t>mediante apresentação da Nota Fiscal.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I= (TX/100)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EM = I x N x VP, onde: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TX = Percentual da taxa de juros de mora anual;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EM = Encargos moratórios;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N = Número de dias entre a data prevista para o pagamento e a do efetivo pagamento;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VP = Valor da parcela em atraso.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07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0E71A7" w:rsidRPr="003961A1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IV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V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VI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VII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08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3961A1">
        <w:rPr>
          <w:rFonts w:ascii="Verdana" w:hAnsi="Verdana" w:cs="Arial"/>
          <w:sz w:val="21"/>
          <w:szCs w:val="21"/>
        </w:rPr>
        <w:t>á</w:t>
      </w:r>
      <w:proofErr w:type="spellEnd"/>
      <w:r w:rsidRPr="003961A1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A - Advertência;</w:t>
      </w:r>
    </w:p>
    <w:p w:rsidR="000E71A7" w:rsidRPr="003961A1" w:rsidRDefault="000E71A7" w:rsidP="000E71A7">
      <w:pPr>
        <w:pStyle w:val="Recuodecorpodetexto34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B - Multa de 0,3% (três décimos por cento) por dia, até o 10</w:t>
      </w:r>
      <w:r w:rsidRPr="003961A1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3961A1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0E71A7" w:rsidRPr="003961A1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C - Multa de 20% (vinte por cento) sobre o valor do saldo do valor do contrato, no caso de atraso superior a 10 (dez) dias, com a consequente rescisão contratual, quando for o caso;</w:t>
      </w: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lastRenderedPageBreak/>
        <w:t>D - Multa de 20% (vinte por cento) sobre o valor do contrato, nos casos:</w:t>
      </w: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d) descumprimento de cláusula contratual.</w:t>
      </w:r>
    </w:p>
    <w:p w:rsidR="000E71A7" w:rsidRPr="003961A1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III - </w:t>
      </w:r>
      <w:r w:rsidRPr="003961A1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bCs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right" w:pos="601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09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7722B" w:rsidRPr="003961A1">
        <w:rPr>
          <w:rFonts w:ascii="Verdana" w:hAnsi="Verdana" w:cs="Arial"/>
          <w:sz w:val="21"/>
          <w:szCs w:val="21"/>
        </w:rPr>
        <w:t>066/2017</w:t>
      </w:r>
      <w:r w:rsidRPr="003961A1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10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0E71A7" w:rsidRPr="003961A1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lastRenderedPageBreak/>
        <w:t xml:space="preserve">11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0E71A7" w:rsidRPr="003961A1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>Pela Administração, quando:</w:t>
      </w: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A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3961A1">
        <w:rPr>
          <w:rFonts w:ascii="Verdana" w:hAnsi="Verdana" w:cs="Arial"/>
          <w:sz w:val="21"/>
          <w:szCs w:val="21"/>
        </w:rPr>
        <w:t>a</w:t>
      </w:r>
      <w:proofErr w:type="spellEnd"/>
      <w:r w:rsidRPr="003961A1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B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C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bookmarkStart w:id="0" w:name="_GoBack"/>
      <w:bookmarkEnd w:id="0"/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D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3961A1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E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F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0E71A7" w:rsidRPr="003961A1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Verdana"/>
          <w:sz w:val="21"/>
          <w:szCs w:val="21"/>
        </w:rPr>
        <w:t xml:space="preserve">G </w:t>
      </w:r>
      <w:r w:rsidRPr="003961A1">
        <w:rPr>
          <w:rFonts w:ascii="Verdana" w:hAnsi="Verdana" w:cs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3961A1" w:rsidRDefault="000E71A7" w:rsidP="000E71A7">
      <w:pPr>
        <w:pStyle w:val="Recuodecorpodetexto23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>Pelas detentoras, quando</w:t>
      </w:r>
      <w:r w:rsidRPr="003961A1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3961A1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A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3961A1">
        <w:rPr>
          <w:rFonts w:ascii="Verdana" w:hAnsi="Verdana" w:cs="Arial"/>
          <w:sz w:val="21"/>
          <w:szCs w:val="21"/>
        </w:rPr>
        <w:t>a</w:t>
      </w:r>
      <w:proofErr w:type="spellEnd"/>
      <w:r w:rsidRPr="003961A1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3961A1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12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I</w:t>
      </w:r>
      <w:r w:rsidRPr="003961A1">
        <w:rPr>
          <w:rFonts w:ascii="Verdana" w:hAnsi="Verdana" w:cs="Arial"/>
          <w:b/>
          <w:sz w:val="21"/>
          <w:szCs w:val="21"/>
        </w:rPr>
        <w:t xml:space="preserve"> </w:t>
      </w:r>
      <w:r w:rsidRPr="003961A1">
        <w:rPr>
          <w:rFonts w:ascii="Verdana" w:hAnsi="Verdana" w:cs="Arial"/>
          <w:b/>
          <w:sz w:val="21"/>
          <w:szCs w:val="21"/>
        </w:rPr>
        <w:noBreakHyphen/>
      </w:r>
      <w:r w:rsidRPr="003961A1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>13- DAS DISPOSIÇÕES FINAIS</w:t>
      </w:r>
    </w:p>
    <w:p w:rsidR="000E71A7" w:rsidRPr="003961A1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lastRenderedPageBreak/>
        <w:t xml:space="preserve">14.1. Integram esta Ata, o edital do Pregão nº </w:t>
      </w:r>
      <w:r w:rsidR="0067722B" w:rsidRPr="003961A1">
        <w:rPr>
          <w:rFonts w:ascii="Verdana" w:hAnsi="Verdana" w:cs="Arial"/>
          <w:sz w:val="21"/>
          <w:szCs w:val="21"/>
        </w:rPr>
        <w:t>066/2017</w:t>
      </w:r>
      <w:r w:rsidRPr="003961A1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0E71A7" w:rsidRPr="003961A1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0E71A7" w:rsidRPr="003961A1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Papagaios, </w:t>
      </w:r>
      <w:r w:rsidR="000D0FA5" w:rsidRPr="003961A1">
        <w:rPr>
          <w:rFonts w:ascii="Verdana" w:hAnsi="Verdana" w:cs="Arial"/>
          <w:sz w:val="21"/>
          <w:szCs w:val="21"/>
        </w:rPr>
        <w:t>30 de agosto de 2017</w:t>
      </w:r>
      <w:r w:rsidRPr="003961A1">
        <w:rPr>
          <w:rFonts w:ascii="Verdana" w:hAnsi="Verdana" w:cs="Arial"/>
          <w:sz w:val="21"/>
          <w:szCs w:val="21"/>
        </w:rPr>
        <w:t>.</w:t>
      </w:r>
    </w:p>
    <w:p w:rsidR="000E71A7" w:rsidRPr="003961A1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3961A1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961A1" w:rsidRPr="003961A1" w:rsidRDefault="003961A1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3961A1" w:rsidRPr="003961A1" w:rsidRDefault="003961A1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3961A1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961A1" w:rsidRPr="003961A1" w:rsidRDefault="003961A1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961A1" w:rsidRPr="003961A1" w:rsidRDefault="003961A1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961A1" w:rsidRPr="003961A1" w:rsidRDefault="003961A1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961A1" w:rsidRPr="003961A1" w:rsidRDefault="003961A1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João Francisco </w:t>
      </w:r>
      <w:proofErr w:type="spellStart"/>
      <w:r w:rsidRPr="003961A1">
        <w:rPr>
          <w:rFonts w:ascii="Verdana" w:hAnsi="Verdana" w:cs="Arial"/>
          <w:sz w:val="21"/>
          <w:szCs w:val="21"/>
        </w:rPr>
        <w:t>Braulio</w:t>
      </w:r>
      <w:proofErr w:type="spellEnd"/>
      <w:r w:rsidRPr="003961A1">
        <w:rPr>
          <w:rFonts w:ascii="Verdana" w:hAnsi="Verdana" w:cs="Arial"/>
          <w:sz w:val="21"/>
          <w:szCs w:val="21"/>
        </w:rPr>
        <w:t xml:space="preserve"> 32952953791</w:t>
      </w:r>
    </w:p>
    <w:p w:rsidR="003961A1" w:rsidRPr="003961A1" w:rsidRDefault="003961A1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CNPJ 27.845.560/0001-01</w:t>
      </w:r>
    </w:p>
    <w:p w:rsidR="003D646A" w:rsidRPr="003961A1" w:rsidRDefault="003D646A" w:rsidP="003961A1">
      <w:pPr>
        <w:pStyle w:val="Corpodetexto"/>
        <w:spacing w:after="0"/>
        <w:jc w:val="center"/>
        <w:rPr>
          <w:rFonts w:ascii="Verdana" w:hAnsi="Verdana"/>
          <w:sz w:val="21"/>
          <w:szCs w:val="21"/>
        </w:rPr>
      </w:pPr>
    </w:p>
    <w:sectPr w:rsidR="003D646A" w:rsidRPr="003961A1" w:rsidSect="00497C9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5C231D" w:rsidRDefault="00683E89" w:rsidP="000015CB">
    <w:pPr>
      <w:pStyle w:val="Rodap"/>
      <w:ind w:left="-142"/>
      <w:rPr>
        <w:sz w:val="20"/>
        <w:szCs w:val="20"/>
      </w:rPr>
    </w:pPr>
    <w:r w:rsidRPr="005C231D">
      <w:rPr>
        <w:sz w:val="20"/>
        <w:szCs w:val="20"/>
      </w:rPr>
      <w:t>RUA</w:t>
    </w:r>
    <w:r w:rsidR="00E33182" w:rsidRPr="005C231D">
      <w:rPr>
        <w:sz w:val="20"/>
        <w:szCs w:val="20"/>
      </w:rPr>
      <w:t xml:space="preserve"> FRANCISCO VALADARES DA FONSECA, 250 PABX (37)3274-1260 – </w:t>
    </w:r>
    <w:r w:rsidR="005C231D" w:rsidRPr="005C231D">
      <w:rPr>
        <w:sz w:val="20"/>
        <w:szCs w:val="20"/>
      </w:rPr>
      <w:t>VASCO LOPES</w:t>
    </w:r>
    <w:r w:rsidR="00E33182" w:rsidRPr="005C231D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D0FA5"/>
    <w:rsid w:val="000E71A7"/>
    <w:rsid w:val="00285A24"/>
    <w:rsid w:val="002936D7"/>
    <w:rsid w:val="002E2556"/>
    <w:rsid w:val="002F68A3"/>
    <w:rsid w:val="00320D56"/>
    <w:rsid w:val="003702B1"/>
    <w:rsid w:val="003961A1"/>
    <w:rsid w:val="003D646A"/>
    <w:rsid w:val="00497C9B"/>
    <w:rsid w:val="004C2D12"/>
    <w:rsid w:val="004E6DCB"/>
    <w:rsid w:val="0050162C"/>
    <w:rsid w:val="005C231D"/>
    <w:rsid w:val="0064746E"/>
    <w:rsid w:val="006620EE"/>
    <w:rsid w:val="0067722B"/>
    <w:rsid w:val="00683E89"/>
    <w:rsid w:val="006E7555"/>
    <w:rsid w:val="007B2225"/>
    <w:rsid w:val="007D2ED6"/>
    <w:rsid w:val="0081121D"/>
    <w:rsid w:val="008C2F41"/>
    <w:rsid w:val="009701BF"/>
    <w:rsid w:val="0097482B"/>
    <w:rsid w:val="00AE2C8E"/>
    <w:rsid w:val="00B53D45"/>
    <w:rsid w:val="00BE5B6A"/>
    <w:rsid w:val="00C12C5D"/>
    <w:rsid w:val="00D14190"/>
    <w:rsid w:val="00D52DED"/>
    <w:rsid w:val="00DD0130"/>
    <w:rsid w:val="00DF6B61"/>
    <w:rsid w:val="00E00126"/>
    <w:rsid w:val="00E033B9"/>
    <w:rsid w:val="00E33182"/>
    <w:rsid w:val="00EC050B"/>
    <w:rsid w:val="00E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2083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</cp:lastModifiedBy>
  <cp:revision>4</cp:revision>
  <cp:lastPrinted>2017-07-31T18:14:00Z</cp:lastPrinted>
  <dcterms:created xsi:type="dcterms:W3CDTF">2017-09-20T15:48:00Z</dcterms:created>
  <dcterms:modified xsi:type="dcterms:W3CDTF">2017-09-20T15:54:00Z</dcterms:modified>
</cp:coreProperties>
</file>