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643362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67722B">
        <w:rPr>
          <w:rFonts w:ascii="Verdana" w:hAnsi="Verdana" w:cs="Verdana"/>
          <w:b/>
          <w:sz w:val="21"/>
          <w:szCs w:val="21"/>
        </w:rPr>
        <w:t>117/2017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7722B">
        <w:rPr>
          <w:rFonts w:ascii="Verdana" w:hAnsi="Verdana" w:cs="Arial"/>
          <w:b/>
          <w:sz w:val="21"/>
          <w:szCs w:val="21"/>
        </w:rPr>
        <w:t>066/2017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ATA DE REGISTRO DE PREÇOS Nº </w:t>
      </w:r>
      <w:r w:rsidR="00D52DED">
        <w:rPr>
          <w:rFonts w:ascii="Verdana" w:hAnsi="Verdana" w:cs="Arial"/>
          <w:sz w:val="21"/>
          <w:szCs w:val="21"/>
        </w:rPr>
        <w:t>054</w:t>
      </w:r>
      <w:r w:rsidRPr="00643362">
        <w:rPr>
          <w:rFonts w:ascii="Verdana" w:hAnsi="Verdana" w:cs="Arial"/>
          <w:sz w:val="21"/>
          <w:szCs w:val="21"/>
        </w:rPr>
        <w:t>/2017.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PREGÃO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PROCESSO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VALIDADE: 12 meses.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Aos </w:t>
      </w:r>
      <w:r w:rsidR="009701BF">
        <w:rPr>
          <w:rFonts w:ascii="Verdana" w:hAnsi="Verdana" w:cs="Arial"/>
          <w:sz w:val="21"/>
          <w:szCs w:val="21"/>
        </w:rPr>
        <w:t>30 (trinta)</w:t>
      </w:r>
      <w:r w:rsidRPr="00643362">
        <w:rPr>
          <w:rFonts w:ascii="Verdana" w:hAnsi="Verdana" w:cs="Arial"/>
          <w:sz w:val="21"/>
          <w:szCs w:val="21"/>
        </w:rPr>
        <w:t xml:space="preserve"> dias do mês de </w:t>
      </w:r>
      <w:r w:rsidR="009701BF">
        <w:rPr>
          <w:rFonts w:ascii="Verdana" w:hAnsi="Verdana" w:cs="Arial"/>
          <w:sz w:val="21"/>
          <w:szCs w:val="21"/>
        </w:rPr>
        <w:t>agosto</w:t>
      </w:r>
      <w:r w:rsidRPr="00643362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9701B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643362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701B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701BF">
        <w:rPr>
          <w:rFonts w:ascii="Verdana" w:hAnsi="Verdana" w:cs="Arial"/>
          <w:sz w:val="21"/>
          <w:szCs w:val="21"/>
        </w:rPr>
        <w:t>Filgueiras</w:t>
      </w:r>
      <w:proofErr w:type="spellEnd"/>
      <w:r w:rsidRPr="00643362">
        <w:rPr>
          <w:rFonts w:ascii="Verdana" w:hAnsi="Verdana" w:cs="Arial"/>
          <w:sz w:val="21"/>
          <w:szCs w:val="21"/>
        </w:rPr>
        <w:t>, nos termos do art. 15 da Lei Federal 8.666/93, da Lei 10.250/</w:t>
      </w:r>
      <w:r>
        <w:rPr>
          <w:rFonts w:ascii="Verdana" w:hAnsi="Verdana" w:cs="Arial"/>
          <w:sz w:val="21"/>
          <w:szCs w:val="21"/>
        </w:rPr>
        <w:t>20</w:t>
      </w:r>
      <w:r w:rsidRPr="00643362">
        <w:rPr>
          <w:rFonts w:ascii="Verdana" w:hAnsi="Verdana" w:cs="Arial"/>
          <w:sz w:val="21"/>
          <w:szCs w:val="21"/>
        </w:rPr>
        <w:t xml:space="preserve">02, das demais normas legais aplicáveis, em face da classificação das propostas apresentadas no PREGÃO PARA REGISTRO DE PREÇOS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2E2556">
        <w:rPr>
          <w:rFonts w:ascii="Verdana" w:hAnsi="Verdana" w:cs="Arial"/>
          <w:b/>
          <w:sz w:val="21"/>
          <w:szCs w:val="21"/>
        </w:rPr>
        <w:t>ADILSON ANTONIO DE MORAIS JUNIOR ME</w:t>
      </w:r>
      <w:r w:rsidRPr="00643362">
        <w:rPr>
          <w:rFonts w:ascii="Verdana" w:hAnsi="Verdana" w:cs="Arial"/>
          <w:sz w:val="21"/>
          <w:szCs w:val="21"/>
        </w:rPr>
        <w:t xml:space="preserve">, localizado na </w:t>
      </w:r>
      <w:r w:rsidR="002E2556">
        <w:rPr>
          <w:rFonts w:ascii="Verdana" w:hAnsi="Verdana" w:cs="Arial"/>
          <w:sz w:val="21"/>
          <w:szCs w:val="21"/>
        </w:rPr>
        <w:t>Avenida Padre Vilaça, nº. 812, Loja B, bairro Nossa Senhora do Rosário, Mateus Leme/MG, CEP 35.670-000</w:t>
      </w:r>
      <w:r w:rsidRPr="00643362">
        <w:rPr>
          <w:rFonts w:ascii="Verdana" w:hAnsi="Verdana" w:cs="Arial"/>
          <w:sz w:val="21"/>
          <w:szCs w:val="21"/>
        </w:rPr>
        <w:t xml:space="preserve">, cujo CNPJ é </w:t>
      </w:r>
      <w:r w:rsidR="002E2556">
        <w:rPr>
          <w:rFonts w:ascii="Verdana" w:hAnsi="Verdana" w:cs="Arial"/>
          <w:sz w:val="21"/>
          <w:szCs w:val="21"/>
        </w:rPr>
        <w:t>20.457.918/0001-71</w:t>
      </w:r>
      <w:r w:rsidRPr="00643362">
        <w:rPr>
          <w:rFonts w:ascii="Verdana" w:hAnsi="Verdana" w:cs="Arial"/>
          <w:sz w:val="21"/>
          <w:szCs w:val="21"/>
        </w:rPr>
        <w:t xml:space="preserve">, neste ato representado por </w:t>
      </w:r>
      <w:r w:rsidR="002E2556">
        <w:rPr>
          <w:rFonts w:ascii="Verdana" w:hAnsi="Verdana" w:cs="Arial"/>
          <w:sz w:val="21"/>
          <w:szCs w:val="21"/>
        </w:rPr>
        <w:t>Adilson Antônio de Morais Junior</w:t>
      </w:r>
      <w:r w:rsidR="003702B1">
        <w:rPr>
          <w:rFonts w:ascii="Verdana" w:hAnsi="Verdana" w:cs="Arial"/>
          <w:sz w:val="21"/>
          <w:szCs w:val="21"/>
        </w:rPr>
        <w:t xml:space="preserve">, inscrito no CPF/MF sob o nº. </w:t>
      </w:r>
      <w:r w:rsidR="002E2556">
        <w:rPr>
          <w:rFonts w:ascii="Verdana" w:hAnsi="Verdana" w:cs="Arial"/>
          <w:sz w:val="21"/>
          <w:szCs w:val="21"/>
        </w:rPr>
        <w:t>071.305.066-79</w:t>
      </w:r>
      <w:r w:rsidRPr="00643362">
        <w:rPr>
          <w:rFonts w:ascii="Verdana" w:hAnsi="Verdana" w:cs="Arial"/>
          <w:sz w:val="21"/>
          <w:szCs w:val="21"/>
        </w:rPr>
        <w:t>, conforme quadro abaixo: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64"/>
        <w:gridCol w:w="787"/>
        <w:gridCol w:w="1206"/>
        <w:gridCol w:w="865"/>
        <w:gridCol w:w="787"/>
        <w:gridCol w:w="865"/>
        <w:gridCol w:w="787"/>
        <w:gridCol w:w="865"/>
      </w:tblGrid>
      <w:tr w:rsidR="002E2556" w:rsidRPr="002E2556" w:rsidTr="002E2556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8085 DN – TN 580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37,4000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13.090,00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13.090,00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65.450,00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brother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BR 17212210 – TN 580/TN 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37,4000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1.870,00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1.870,00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9.350,00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– MF 8480 DN – TN 580 TN 80/650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37,4000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3.740,00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3.740,00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18.700,00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4280 – HP 122 Colorida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34,8000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1.740,00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1.740,00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8.700,00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Samsung SCX 4200 – Toner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cartridge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4200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43,5000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3.480,00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3.480,00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17.400,00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HP laser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M 1132 =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Cartridge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2850A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27,0000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2.160,00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10.800,00</w:t>
            </w:r>
          </w:p>
        </w:tc>
      </w:tr>
      <w:tr w:rsidR="002E2556" w:rsidRPr="002E2556" w:rsidTr="002E2556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Laser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jet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M1132 MFP – laser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printer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toner </w:t>
            </w:r>
            <w:proofErr w:type="spellStart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cartrigge</w:t>
            </w:r>
            <w:proofErr w:type="spellEnd"/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CE285A.  39534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24,0000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1.200,00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556" w:rsidRPr="002E2556" w:rsidRDefault="002E2556" w:rsidP="002E2556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2E2556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6.000,00</w:t>
            </w:r>
          </w:p>
        </w:tc>
      </w:tr>
    </w:tbl>
    <w:p w:rsidR="003702B1" w:rsidRPr="00643362" w:rsidRDefault="003702B1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01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t xml:space="preserve">I </w:t>
      </w:r>
      <w:r w:rsidRPr="00643362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02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643362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03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04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643362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643362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05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06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4336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643362">
        <w:rPr>
          <w:rFonts w:ascii="Verdana" w:hAnsi="Verdana" w:cs="Arial"/>
          <w:sz w:val="21"/>
          <w:szCs w:val="21"/>
        </w:rPr>
        <w:t>definitivo pela unidade requisitante</w:t>
      </w:r>
      <w:r w:rsidRPr="00643362">
        <w:rPr>
          <w:rFonts w:ascii="Verdana" w:hAnsi="Verdana" w:cs="Arial"/>
          <w:bCs/>
          <w:sz w:val="21"/>
          <w:szCs w:val="21"/>
        </w:rPr>
        <w:t xml:space="preserve"> do objeto, </w:t>
      </w:r>
      <w:r w:rsidRPr="00643362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07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643362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IV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08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643362">
        <w:rPr>
          <w:rFonts w:ascii="Verdana" w:hAnsi="Verdana" w:cs="Arial"/>
          <w:sz w:val="21"/>
          <w:szCs w:val="21"/>
        </w:rPr>
        <w:t>á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A - Advertência;</w:t>
      </w:r>
    </w:p>
    <w:p w:rsidR="000E71A7" w:rsidRPr="00643362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643362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643362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643362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- </w:t>
      </w:r>
      <w:r w:rsidRPr="00643362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lastRenderedPageBreak/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09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10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643362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11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643362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43362">
        <w:rPr>
          <w:rFonts w:ascii="Verdana" w:hAnsi="Verdana" w:cs="Arial"/>
          <w:sz w:val="21"/>
          <w:szCs w:val="21"/>
        </w:rPr>
        <w:t>a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B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C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D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643362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F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lastRenderedPageBreak/>
        <w:t xml:space="preserve">G </w:t>
      </w:r>
      <w:r w:rsidRPr="00643362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643362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Pelas detentoras, quando</w:t>
      </w:r>
      <w:r w:rsidRPr="0064336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643362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43362">
        <w:rPr>
          <w:rFonts w:ascii="Verdana" w:hAnsi="Verdana" w:cs="Arial"/>
          <w:sz w:val="21"/>
          <w:szCs w:val="21"/>
        </w:rPr>
        <w:t>a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643362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12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I</w:t>
      </w:r>
      <w:r w:rsidRPr="00643362">
        <w:rPr>
          <w:rFonts w:ascii="Verdana" w:hAnsi="Verdana" w:cs="Arial"/>
          <w:b/>
          <w:sz w:val="21"/>
          <w:szCs w:val="21"/>
        </w:rPr>
        <w:t xml:space="preserve"> </w:t>
      </w:r>
      <w:r w:rsidRPr="00643362">
        <w:rPr>
          <w:rFonts w:ascii="Verdana" w:hAnsi="Verdana" w:cs="Arial"/>
          <w:b/>
          <w:sz w:val="21"/>
          <w:szCs w:val="21"/>
        </w:rPr>
        <w:noBreakHyphen/>
      </w:r>
      <w:r w:rsidRPr="0064336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643362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Papagaios, </w:t>
      </w:r>
      <w:r w:rsidR="000D0FA5">
        <w:rPr>
          <w:rFonts w:ascii="Verdana" w:hAnsi="Verdana" w:cs="Arial"/>
          <w:sz w:val="21"/>
          <w:szCs w:val="21"/>
        </w:rPr>
        <w:t>30 de agosto de 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bookmarkStart w:id="0" w:name="_GoBack"/>
      <w:bookmarkEnd w:id="0"/>
      <w:r w:rsidRPr="00643362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643362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2E2556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Adilson Antônio de Morais Júnior ME</w:t>
      </w:r>
    </w:p>
    <w:p w:rsidR="000E71A7" w:rsidRPr="00643362" w:rsidRDefault="000D0FA5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CNPJ/MF </w:t>
      </w:r>
      <w:r w:rsidR="002E2556">
        <w:rPr>
          <w:rFonts w:ascii="Verdana" w:hAnsi="Verdana" w:cs="Arial"/>
          <w:sz w:val="21"/>
          <w:szCs w:val="21"/>
        </w:rPr>
        <w:t>20.457.918/0001-71</w:t>
      </w:r>
    </w:p>
    <w:sectPr w:rsidR="000E71A7" w:rsidRPr="0064336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D0FA5"/>
    <w:rsid w:val="000E71A7"/>
    <w:rsid w:val="00285A24"/>
    <w:rsid w:val="002936D7"/>
    <w:rsid w:val="002E2556"/>
    <w:rsid w:val="002F68A3"/>
    <w:rsid w:val="00320D56"/>
    <w:rsid w:val="003702B1"/>
    <w:rsid w:val="004C2D12"/>
    <w:rsid w:val="004E6DCB"/>
    <w:rsid w:val="0050162C"/>
    <w:rsid w:val="005C231D"/>
    <w:rsid w:val="006620EE"/>
    <w:rsid w:val="0067722B"/>
    <w:rsid w:val="00683E89"/>
    <w:rsid w:val="006E7555"/>
    <w:rsid w:val="007B2225"/>
    <w:rsid w:val="007D2ED6"/>
    <w:rsid w:val="0081121D"/>
    <w:rsid w:val="008C2F41"/>
    <w:rsid w:val="009701BF"/>
    <w:rsid w:val="0097482B"/>
    <w:rsid w:val="00B53D45"/>
    <w:rsid w:val="00BE5B6A"/>
    <w:rsid w:val="00C12C5D"/>
    <w:rsid w:val="00D14190"/>
    <w:rsid w:val="00D52DED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2033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3</cp:revision>
  <cp:lastPrinted>2017-07-31T18:14:00Z</cp:lastPrinted>
  <dcterms:created xsi:type="dcterms:W3CDTF">2017-09-20T15:33:00Z</dcterms:created>
  <dcterms:modified xsi:type="dcterms:W3CDTF">2017-09-20T15:38:00Z</dcterms:modified>
</cp:coreProperties>
</file>