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01" w:rsidRPr="00D275ED" w:rsidRDefault="00C83701" w:rsidP="00C83701">
      <w:pPr>
        <w:pageBreakBefore/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D275ED">
        <w:rPr>
          <w:rFonts w:ascii="Verdana" w:hAnsi="Verdana"/>
          <w:b/>
          <w:sz w:val="21"/>
          <w:szCs w:val="21"/>
        </w:rPr>
        <w:t>PROCESSO LICITATÓRIO Nº 070/2017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>PREGÃO PRESENCIAL Nº 035/2017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sz w:val="21"/>
          <w:szCs w:val="21"/>
          <w:u w:val="single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ATA DE REGISTRO DE PREÇOS Nº 030/2017.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PREGÃO Nº 070/2017.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PROCESSO Nº 035/2017.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VALIDADE: 12 meses.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Aos </w:t>
      </w:r>
      <w:r w:rsidRPr="00D275ED">
        <w:rPr>
          <w:rFonts w:ascii="Verdana" w:hAnsi="Verdana" w:cs="Arial"/>
          <w:sz w:val="21"/>
          <w:szCs w:val="21"/>
          <w:lang w:val="pt-BR"/>
        </w:rPr>
        <w:t xml:space="preserve">14 </w:t>
      </w:r>
      <w:r w:rsidRPr="00D275ED">
        <w:rPr>
          <w:rFonts w:ascii="Verdana" w:hAnsi="Verdana" w:cs="Arial"/>
          <w:sz w:val="21"/>
          <w:szCs w:val="21"/>
        </w:rPr>
        <w:t>(</w:t>
      </w:r>
      <w:r w:rsidRPr="00D275ED">
        <w:rPr>
          <w:rFonts w:ascii="Verdana" w:hAnsi="Verdana" w:cs="Arial"/>
          <w:sz w:val="21"/>
          <w:szCs w:val="21"/>
          <w:lang w:val="pt-BR"/>
        </w:rPr>
        <w:t>quatorze</w:t>
      </w:r>
      <w:r w:rsidRPr="00D275ED">
        <w:rPr>
          <w:rFonts w:ascii="Verdana" w:hAnsi="Verdana" w:cs="Arial"/>
          <w:sz w:val="21"/>
          <w:szCs w:val="21"/>
        </w:rPr>
        <w:t xml:space="preserve">) dias do mês de  </w:t>
      </w:r>
      <w:r w:rsidRPr="00D275ED">
        <w:rPr>
          <w:rFonts w:ascii="Verdana" w:hAnsi="Verdana" w:cs="Arial"/>
          <w:sz w:val="21"/>
          <w:szCs w:val="21"/>
          <w:lang w:val="pt-BR"/>
        </w:rPr>
        <w:t>junho</w:t>
      </w:r>
      <w:r w:rsidRPr="00D275ED">
        <w:rPr>
          <w:rFonts w:ascii="Verdana" w:hAnsi="Verdana" w:cs="Arial"/>
          <w:sz w:val="21"/>
          <w:szCs w:val="21"/>
        </w:rPr>
        <w:t xml:space="preserve"> de </w:t>
      </w:r>
      <w:r w:rsidRPr="00D275ED">
        <w:rPr>
          <w:rFonts w:ascii="Verdana" w:hAnsi="Verdana" w:cs="Arial"/>
          <w:sz w:val="21"/>
          <w:szCs w:val="21"/>
          <w:lang w:val="pt-BR"/>
        </w:rPr>
        <w:t>2017</w:t>
      </w:r>
      <w:r w:rsidRPr="00D275ED">
        <w:rPr>
          <w:rFonts w:ascii="Verdana" w:hAnsi="Verdana" w:cs="Arial"/>
          <w:sz w:val="21"/>
          <w:szCs w:val="21"/>
        </w:rPr>
        <w:t xml:space="preserve">, na sala de licitações, na sala de licitações, na sede da Prefeitura Municipal, situada na Rua Francisco Valadares da Fonseca, nº. 250, bairro Vasco Lopes, Papagaios/MG, CEP 35.669-000, o Exmo. Sr. Prefeito Municipal, Sr. Mário Reis </w:t>
      </w:r>
      <w:proofErr w:type="spellStart"/>
      <w:r w:rsidRPr="00D275ED">
        <w:rPr>
          <w:rFonts w:ascii="Verdana" w:hAnsi="Verdana" w:cs="Arial"/>
          <w:sz w:val="21"/>
          <w:szCs w:val="21"/>
        </w:rPr>
        <w:t>Filgueiras</w:t>
      </w:r>
      <w:proofErr w:type="spellEnd"/>
      <w:r w:rsidRPr="00D275ED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034/2017 por deliberação do pregoeiro oficial e equipe de apoio, e por ele homologada conforme processo nº 068/2017 RESOLVE registrar os preços para os fornecimentos constantes nos anexos desta ata, beneficiário </w:t>
      </w:r>
      <w:r w:rsidR="00D275ED" w:rsidRPr="00D275ED">
        <w:rPr>
          <w:rFonts w:ascii="Verdana" w:hAnsi="Verdana" w:cs="Arial"/>
          <w:b/>
          <w:sz w:val="21"/>
          <w:szCs w:val="21"/>
          <w:lang w:val="pt-BR"/>
        </w:rPr>
        <w:t>MARIA DE LOURDES CANÇADO ME</w:t>
      </w:r>
      <w:r w:rsidRPr="00D275ED">
        <w:rPr>
          <w:rFonts w:ascii="Verdana" w:hAnsi="Verdana" w:cs="Arial"/>
          <w:sz w:val="21"/>
          <w:szCs w:val="21"/>
        </w:rPr>
        <w:t xml:space="preserve">, localizado na </w:t>
      </w:r>
      <w:r w:rsidR="00D275ED" w:rsidRPr="00D275ED">
        <w:rPr>
          <w:rFonts w:ascii="Verdana" w:hAnsi="Verdana" w:cs="Arial"/>
          <w:sz w:val="21"/>
          <w:szCs w:val="21"/>
          <w:lang w:val="pt-BR"/>
        </w:rPr>
        <w:t>Rua Osório Maciel, nº. 163, Centro, Papagaios/MG, CEP 35.669-000</w:t>
      </w:r>
      <w:r w:rsidRPr="00D275ED">
        <w:rPr>
          <w:rFonts w:ascii="Verdana" w:hAnsi="Verdana" w:cs="Arial"/>
          <w:sz w:val="21"/>
          <w:szCs w:val="21"/>
        </w:rPr>
        <w:t xml:space="preserve">, cujo CNPJ é </w:t>
      </w:r>
      <w:r w:rsidR="00D275ED" w:rsidRPr="00D275ED">
        <w:rPr>
          <w:rFonts w:ascii="Verdana" w:hAnsi="Verdana" w:cs="Arial"/>
          <w:sz w:val="21"/>
          <w:szCs w:val="21"/>
          <w:lang w:val="pt-BR"/>
        </w:rPr>
        <w:t>22.357.081/0001-14</w:t>
      </w:r>
      <w:r w:rsidRPr="00D275ED">
        <w:rPr>
          <w:rFonts w:ascii="Verdana" w:hAnsi="Verdana" w:cs="Arial"/>
          <w:sz w:val="21"/>
          <w:szCs w:val="21"/>
        </w:rPr>
        <w:t xml:space="preserve">, neste ato representado por </w:t>
      </w:r>
      <w:proofErr w:type="spellStart"/>
      <w:r w:rsidR="00D275ED" w:rsidRPr="00D275ED">
        <w:rPr>
          <w:rFonts w:ascii="Verdana" w:hAnsi="Verdana" w:cs="Arial"/>
          <w:sz w:val="21"/>
          <w:szCs w:val="21"/>
          <w:lang w:val="pt-BR"/>
        </w:rPr>
        <w:t>Rislaine</w:t>
      </w:r>
      <w:proofErr w:type="spellEnd"/>
      <w:r w:rsidR="00D275ED" w:rsidRPr="00D275ED">
        <w:rPr>
          <w:rFonts w:ascii="Verdana" w:hAnsi="Verdana" w:cs="Arial"/>
          <w:sz w:val="21"/>
          <w:szCs w:val="21"/>
          <w:lang w:val="pt-BR"/>
        </w:rPr>
        <w:t xml:space="preserve"> de Faria </w:t>
      </w:r>
      <w:proofErr w:type="spellStart"/>
      <w:r w:rsidR="00D275ED" w:rsidRPr="00D275ED">
        <w:rPr>
          <w:rFonts w:ascii="Verdana" w:hAnsi="Verdana" w:cs="Arial"/>
          <w:sz w:val="21"/>
          <w:szCs w:val="21"/>
          <w:lang w:val="pt-BR"/>
        </w:rPr>
        <w:t>Cançado</w:t>
      </w:r>
      <w:proofErr w:type="spellEnd"/>
      <w:r w:rsidR="00D275ED" w:rsidRPr="00D275ED">
        <w:rPr>
          <w:rFonts w:ascii="Verdana" w:hAnsi="Verdana" w:cs="Arial"/>
          <w:sz w:val="21"/>
          <w:szCs w:val="21"/>
          <w:lang w:val="pt-BR"/>
        </w:rPr>
        <w:t>, inscrita no CPF/MF sob o nº. 039.096.286-48</w:t>
      </w:r>
      <w:r w:rsidRPr="00D275ED">
        <w:rPr>
          <w:rFonts w:ascii="Verdana" w:hAnsi="Verdana" w:cs="Arial"/>
          <w:sz w:val="21"/>
          <w:szCs w:val="21"/>
        </w:rPr>
        <w:t>, conforme quadro abaixo:</w:t>
      </w:r>
    </w:p>
    <w:p w:rsidR="00C83701" w:rsidRPr="00D275ED" w:rsidRDefault="00C83701" w:rsidP="00C8370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78"/>
        <w:gridCol w:w="873"/>
        <w:gridCol w:w="1295"/>
        <w:gridCol w:w="904"/>
        <w:gridCol w:w="873"/>
        <w:gridCol w:w="904"/>
        <w:gridCol w:w="873"/>
        <w:gridCol w:w="954"/>
      </w:tblGrid>
      <w:tr w:rsidR="00D275ED" w:rsidRPr="00D275ED" w:rsidTr="00D275ED">
        <w:trPr>
          <w:trHeight w:val="180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D275ED" w:rsidRPr="00D275ED" w:rsidTr="00D275ED">
        <w:trPr>
          <w:trHeight w:val="180"/>
        </w:trPr>
        <w:tc>
          <w:tcPr>
            <w:tcW w:w="565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11" w:type="dxa"/>
            <w:gridSpan w:val="3"/>
            <w:shd w:val="clear" w:color="000000" w:fill="BFBFB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16" w:type="dxa"/>
            <w:gridSpan w:val="2"/>
            <w:shd w:val="clear" w:color="000000" w:fill="BFBFB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35" w:type="dxa"/>
            <w:gridSpan w:val="2"/>
            <w:shd w:val="clear" w:color="000000" w:fill="BFBFB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D275ED" w:rsidRPr="00D275ED" w:rsidTr="00D275ED">
        <w:trPr>
          <w:trHeight w:val="180"/>
        </w:trPr>
        <w:tc>
          <w:tcPr>
            <w:tcW w:w="565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95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00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00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D275ED" w:rsidRPr="00D275ED" w:rsidTr="00D275ED">
        <w:trPr>
          <w:trHeight w:val="180"/>
        </w:trPr>
        <w:tc>
          <w:tcPr>
            <w:tcW w:w="565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D275ED" w:rsidRPr="00D275ED" w:rsidRDefault="00D275ED" w:rsidP="00D275ED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</w:tr>
      <w:tr w:rsidR="00D275ED" w:rsidRPr="00D275ED" w:rsidTr="00D275ED">
        <w:trPr>
          <w:trHeight w:val="90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Bola campo nº 04, infantil, costurada, laminado em PU, com câmara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airbility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com miolo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slip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99,0000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9.900,00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9.900,00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49.500,00</w:t>
            </w:r>
          </w:p>
        </w:tc>
      </w:tr>
      <w:tr w:rsidR="00D275ED" w:rsidRPr="00D275ED" w:rsidTr="00D275ED">
        <w:trPr>
          <w:trHeight w:val="21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Bola futsal,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Termotec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costurada, oficial, modelo aprovada pela CBFS ou FMFS, confeccionada em PU, câmara de ar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arbility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ou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similiar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válvula com miolo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slip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, peso entre 300 e 355g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108,9000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16.335,00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16.335,00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81.675,00</w:t>
            </w:r>
          </w:p>
        </w:tc>
      </w:tr>
      <w:tr w:rsidR="00D275ED" w:rsidRPr="00D275ED" w:rsidTr="00D275ED">
        <w:trPr>
          <w:trHeight w:val="12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Bola futsal mirim, em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Termotec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, laminado em PU, com câmara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airbility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ou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similiar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com miolo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slip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, peso 250-280G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99,0000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9.900,00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9.900,00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49.500,00</w:t>
            </w:r>
          </w:p>
        </w:tc>
      </w:tr>
      <w:tr w:rsidR="00D275ED" w:rsidRPr="00D275ED" w:rsidTr="00D275ED">
        <w:trPr>
          <w:trHeight w:val="12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Peteca, com quatro penas, branca, fundo de borracha, tamanho aproximado de 15cm, peso entre 40 e 43g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8,8000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2.200,00</w:t>
            </w:r>
          </w:p>
        </w:tc>
      </w:tr>
      <w:tr w:rsidR="00D275ED" w:rsidRPr="00D275ED" w:rsidTr="00D275ED">
        <w:trPr>
          <w:trHeight w:val="90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lastRenderedPageBreak/>
              <w:t>24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para peteca, em nylon, com fio de 2mm de espessura, trançado em malha de 10cm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49,8000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498,00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498,00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2.490,00</w:t>
            </w:r>
          </w:p>
        </w:tc>
      </w:tr>
      <w:tr w:rsidR="00D275ED" w:rsidRPr="00D275ED" w:rsidTr="00D275ED">
        <w:trPr>
          <w:trHeight w:val="3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modelo taça, medida de 0,25 cm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29,8000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8.940,00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8.940,00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44.700,00</w:t>
            </w:r>
          </w:p>
        </w:tc>
      </w:tr>
      <w:tr w:rsidR="00D275ED" w:rsidRPr="00D275ED" w:rsidTr="00D275ED">
        <w:trPr>
          <w:trHeight w:val="3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modelo taça, medida de 0,60 cm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69,8000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20.940,00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20.940,00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104.700,00</w:t>
            </w:r>
          </w:p>
        </w:tc>
      </w:tr>
      <w:tr w:rsidR="00D275ED" w:rsidRPr="00D275ED" w:rsidTr="00D275ED">
        <w:trPr>
          <w:trHeight w:val="3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modelo taça, medida de 0,89 cm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99,8000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29.940,00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29.940,00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149.700,00</w:t>
            </w:r>
          </w:p>
        </w:tc>
      </w:tr>
      <w:tr w:rsidR="00D275ED" w:rsidRPr="00D275ED" w:rsidTr="00D275ED">
        <w:trPr>
          <w:trHeight w:val="54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personalizado, medida de 0,60 cm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93,0000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27.900,00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27.900,00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139.500,00</w:t>
            </w:r>
          </w:p>
        </w:tc>
      </w:tr>
      <w:tr w:rsidR="00D275ED" w:rsidRPr="00D275ED" w:rsidTr="00D275ED">
        <w:trPr>
          <w:trHeight w:val="306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Agasalho esportivo: Jaqueta com fechamento frontal em zíper, com dois bolsos laterais e punhos e barra em </w:t>
            </w:r>
            <w:proofErr w:type="spellStart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rib</w:t>
            </w:r>
            <w:proofErr w:type="spellEnd"/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(efeito sanfonado), com a gola alta. Calça com cintura elástica com cordão interno regular, com três bolsos, sendo dois laterais e um traseiro, em 100% poliéster. Tamanhos adultos P, M, G, GG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119,8000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3.594,00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3.594,00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17.970,00</w:t>
            </w:r>
          </w:p>
        </w:tc>
      </w:tr>
      <w:tr w:rsidR="00D275ED" w:rsidRPr="00D275ED" w:rsidTr="00D275ED">
        <w:trPr>
          <w:trHeight w:val="144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de proteção metros malha 10x10 em corda trançada fio 3 mm/ polipropileno 100% virgem/tratamento contra ações ultra violetas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4,4000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4.400,00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4.400,00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D275ED" w:rsidRPr="00D275ED" w:rsidRDefault="00D275ED" w:rsidP="00D275E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275ED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22.000,00</w:t>
            </w:r>
          </w:p>
        </w:tc>
      </w:tr>
    </w:tbl>
    <w:p w:rsidR="007A2D9D" w:rsidRPr="00D275ED" w:rsidRDefault="007A2D9D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01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I </w:t>
      </w:r>
      <w:r w:rsidRPr="00D275ED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83701" w:rsidRPr="00D275ED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02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C83701" w:rsidRPr="00D275ED" w:rsidRDefault="00C83701" w:rsidP="00C83701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lastRenderedPageBreak/>
        <w:t xml:space="preserve">03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04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035/2017.</w:t>
      </w:r>
    </w:p>
    <w:p w:rsidR="00C83701" w:rsidRPr="00D275ED" w:rsidRDefault="00C83701" w:rsidP="00C83701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035/2017, que integra o presente instrumento de compromisso.</w:t>
      </w:r>
    </w:p>
    <w:p w:rsidR="00C83701" w:rsidRPr="00D275ED" w:rsidRDefault="00C83701" w:rsidP="00C83701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035/2017 pelas empresas detentoras da presente Ata, as quais também a integram.</w:t>
      </w:r>
    </w:p>
    <w:p w:rsidR="00C83701" w:rsidRPr="00D275ED" w:rsidRDefault="00C83701" w:rsidP="00C83701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05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06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275ED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D275ED">
        <w:rPr>
          <w:rFonts w:ascii="Verdana" w:hAnsi="Verdana" w:cs="Arial"/>
          <w:sz w:val="21"/>
          <w:szCs w:val="21"/>
        </w:rPr>
        <w:t>definitivo pela unidade requisitante</w:t>
      </w:r>
      <w:r w:rsidRPr="00D275ED">
        <w:rPr>
          <w:rFonts w:ascii="Verdana" w:hAnsi="Verdana" w:cs="Arial"/>
          <w:bCs/>
          <w:sz w:val="21"/>
          <w:szCs w:val="21"/>
        </w:rPr>
        <w:t xml:space="preserve"> do objeto, </w:t>
      </w:r>
      <w:r w:rsidRPr="00D275ED">
        <w:rPr>
          <w:rFonts w:ascii="Verdana" w:hAnsi="Verdana" w:cs="Arial"/>
          <w:sz w:val="21"/>
          <w:szCs w:val="21"/>
        </w:rPr>
        <w:t>mediante apresentação da Nota Fiscal.</w:t>
      </w:r>
    </w:p>
    <w:p w:rsidR="00C83701" w:rsidRPr="00D275ED" w:rsidRDefault="00C83701" w:rsidP="00C83701">
      <w:pPr>
        <w:jc w:val="both"/>
        <w:rPr>
          <w:rFonts w:ascii="Verdana" w:hAnsi="Verdana" w:cs="Arial"/>
          <w:bCs/>
          <w:sz w:val="21"/>
          <w:szCs w:val="21"/>
        </w:rPr>
      </w:pPr>
      <w:bookmarkStart w:id="0" w:name="_GoBack"/>
      <w:bookmarkEnd w:id="0"/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</w:t>
      </w:r>
      <w:r w:rsidRPr="00D275ED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I= (TX/100) </w:t>
      </w:r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EM = I x N x VP, onde: </w:t>
      </w:r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EM = Encargos moratórios; </w:t>
      </w:r>
    </w:p>
    <w:p w:rsidR="00C83701" w:rsidRPr="00D275ED" w:rsidRDefault="00C83701" w:rsidP="00C83701">
      <w:pPr>
        <w:jc w:val="both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C83701" w:rsidRPr="00D275ED" w:rsidRDefault="00C83701" w:rsidP="00C83701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VP = Valor da parcela em atraso</w:t>
      </w:r>
    </w:p>
    <w:p w:rsidR="00C83701" w:rsidRPr="00D275ED" w:rsidRDefault="00C83701" w:rsidP="00C83701">
      <w:pPr>
        <w:jc w:val="both"/>
        <w:rPr>
          <w:rFonts w:ascii="Verdana" w:hAnsi="Verdana" w:cs="Arial"/>
          <w:bCs/>
          <w:sz w:val="21"/>
          <w:szCs w:val="21"/>
        </w:rPr>
      </w:pPr>
    </w:p>
    <w:p w:rsidR="00C83701" w:rsidRPr="00D275ED" w:rsidRDefault="00C83701" w:rsidP="00C83701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07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C83701" w:rsidRPr="00D275ED" w:rsidRDefault="00C83701" w:rsidP="00C83701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IV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V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VI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VII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08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lastRenderedPageBreak/>
        <w:t xml:space="preserve">IV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09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035/2017, que integra a presente Ata de Registro de Preços, ressalvados os casos de revisão de registro a que se refere o Decreto instituidor do Registro de preços.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10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C83701" w:rsidRPr="00D275ED" w:rsidRDefault="00C83701" w:rsidP="00C83701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11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I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C83701" w:rsidRPr="00D275ED" w:rsidRDefault="00C83701" w:rsidP="00C83701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>Pela Administração, quando:</w:t>
      </w: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A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275ED">
        <w:rPr>
          <w:rFonts w:ascii="Verdana" w:hAnsi="Verdana" w:cs="Arial"/>
          <w:sz w:val="21"/>
          <w:szCs w:val="21"/>
        </w:rPr>
        <w:t>a</w:t>
      </w:r>
      <w:proofErr w:type="spellEnd"/>
      <w:r w:rsidRPr="00D275ED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B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C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D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83701" w:rsidRPr="00D275ED" w:rsidRDefault="00C83701" w:rsidP="00C83701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E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F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C83701" w:rsidRPr="00D275ED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D275ED">
        <w:rPr>
          <w:rFonts w:ascii="Verdana" w:hAnsi="Verdana"/>
          <w:sz w:val="21"/>
          <w:szCs w:val="21"/>
        </w:rPr>
        <w:t xml:space="preserve">G </w:t>
      </w:r>
      <w:r w:rsidRPr="00D275E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</w:t>
      </w:r>
      <w:r w:rsidRPr="00D275ED">
        <w:rPr>
          <w:rFonts w:ascii="Verdana" w:hAnsi="Verdana"/>
          <w:sz w:val="21"/>
          <w:szCs w:val="21"/>
        </w:rPr>
        <w:lastRenderedPageBreak/>
        <w:t>recebimento, juntando-se o comprovante ao processo de administração da presente Ata de Registro de Preços;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83701" w:rsidRPr="00D275ED" w:rsidRDefault="00C83701" w:rsidP="00C83701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>Pelas detentoras, quando</w:t>
      </w:r>
      <w:r w:rsidRPr="00D275E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83701" w:rsidRPr="00D275ED" w:rsidRDefault="00C83701" w:rsidP="00C83701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tabs>
          <w:tab w:val="left" w:pos="717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 xml:space="preserve">A </w:t>
      </w:r>
      <w:r w:rsidRPr="00D275ED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275ED">
        <w:rPr>
          <w:rFonts w:ascii="Verdana" w:hAnsi="Verdana" w:cs="Arial"/>
          <w:sz w:val="21"/>
          <w:szCs w:val="21"/>
        </w:rPr>
        <w:t>a</w:t>
      </w:r>
      <w:proofErr w:type="spellEnd"/>
      <w:r w:rsidRPr="00D275ED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83701" w:rsidRPr="00D275ED" w:rsidRDefault="00C83701" w:rsidP="00C83701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C83701" w:rsidRPr="00D275ED" w:rsidRDefault="00C83701" w:rsidP="00C83701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sz w:val="21"/>
          <w:szCs w:val="21"/>
        </w:rPr>
        <w:t xml:space="preserve">12 </w:t>
      </w:r>
      <w:r w:rsidRPr="00D275ED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I</w:t>
      </w:r>
      <w:r w:rsidRPr="00D275ED">
        <w:rPr>
          <w:rFonts w:ascii="Verdana" w:hAnsi="Verdana" w:cs="Arial"/>
          <w:b/>
          <w:sz w:val="21"/>
          <w:szCs w:val="21"/>
        </w:rPr>
        <w:t xml:space="preserve"> </w:t>
      </w:r>
      <w:r w:rsidRPr="00D275ED">
        <w:rPr>
          <w:rFonts w:ascii="Verdana" w:hAnsi="Verdana" w:cs="Arial"/>
          <w:b/>
          <w:sz w:val="21"/>
          <w:szCs w:val="21"/>
        </w:rPr>
        <w:noBreakHyphen/>
      </w:r>
      <w:r w:rsidRPr="00D275ED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D275ED">
        <w:rPr>
          <w:rFonts w:ascii="Verdana" w:hAnsi="Verdana" w:cs="Arial"/>
          <w:b/>
          <w:color w:val="000000"/>
          <w:sz w:val="21"/>
          <w:szCs w:val="21"/>
        </w:rPr>
        <w:t xml:space="preserve">13- </w:t>
      </w:r>
      <w:r w:rsidRPr="00D275ED">
        <w:rPr>
          <w:rFonts w:ascii="Verdana" w:hAnsi="Verdana" w:cs="Arial"/>
          <w:b/>
          <w:sz w:val="21"/>
          <w:szCs w:val="21"/>
        </w:rPr>
        <w:t>DAS DISPOSIÇÕES FINAIS</w:t>
      </w:r>
    </w:p>
    <w:p w:rsidR="00C83701" w:rsidRPr="00D275ED" w:rsidRDefault="00C83701" w:rsidP="00C8370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14.1. Integram esta Ata, o edital do Pregão nº 035/2017 e as propostas das empresas classificadas no certame supranumerado.</w:t>
      </w:r>
    </w:p>
    <w:p w:rsidR="00C83701" w:rsidRPr="00D275ED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C83701" w:rsidRPr="00D275ED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275ED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C83701" w:rsidRPr="00D275ED" w:rsidRDefault="00C83701" w:rsidP="00C83701">
      <w:pPr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7A2D9D" w:rsidRPr="00D275ED" w:rsidRDefault="007A2D9D" w:rsidP="007A2D9D">
      <w:pPr>
        <w:spacing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D275ED">
        <w:rPr>
          <w:rFonts w:ascii="Verdana" w:hAnsi="Verdana" w:cs="Arial"/>
          <w:color w:val="000000"/>
          <w:sz w:val="21"/>
          <w:szCs w:val="21"/>
        </w:rPr>
        <w:t>Papagaios, 14 de junho de 2017.</w:t>
      </w:r>
    </w:p>
    <w:p w:rsidR="007A2D9D" w:rsidRPr="00D275ED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D275ED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D275ED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D275ED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D275ED" w:rsidRDefault="00D275E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pt-BR"/>
        </w:rPr>
      </w:pPr>
      <w:r w:rsidRPr="00D275ED">
        <w:rPr>
          <w:rFonts w:ascii="Verdana" w:hAnsi="Verdana" w:cs="Arial"/>
          <w:color w:val="000000"/>
          <w:sz w:val="21"/>
          <w:szCs w:val="21"/>
          <w:lang w:val="pt-BR"/>
        </w:rPr>
        <w:t xml:space="preserve">Maria de Lourdes </w:t>
      </w:r>
      <w:proofErr w:type="spellStart"/>
      <w:r w:rsidRPr="00D275ED">
        <w:rPr>
          <w:rFonts w:ascii="Verdana" w:hAnsi="Verdana" w:cs="Arial"/>
          <w:color w:val="000000"/>
          <w:sz w:val="21"/>
          <w:szCs w:val="21"/>
          <w:lang w:val="pt-BR"/>
        </w:rPr>
        <w:t>Cançado</w:t>
      </w:r>
      <w:proofErr w:type="spellEnd"/>
      <w:r w:rsidRPr="00D275ED">
        <w:rPr>
          <w:rFonts w:ascii="Verdana" w:hAnsi="Verdana" w:cs="Arial"/>
          <w:color w:val="000000"/>
          <w:sz w:val="21"/>
          <w:szCs w:val="21"/>
          <w:lang w:val="pt-BR"/>
        </w:rPr>
        <w:t xml:space="preserve"> ME</w:t>
      </w:r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pt-BR"/>
        </w:rPr>
      </w:pPr>
      <w:r w:rsidRPr="00D275ED">
        <w:rPr>
          <w:rFonts w:ascii="Verdana" w:hAnsi="Verdana" w:cs="Arial"/>
          <w:color w:val="000000"/>
          <w:sz w:val="21"/>
          <w:szCs w:val="21"/>
        </w:rPr>
        <w:t xml:space="preserve">CNPJ/MF </w:t>
      </w:r>
      <w:r w:rsidR="00D275ED" w:rsidRPr="00D275ED">
        <w:rPr>
          <w:rFonts w:ascii="Verdana" w:hAnsi="Verdana" w:cs="Arial"/>
          <w:color w:val="000000"/>
          <w:sz w:val="21"/>
          <w:szCs w:val="21"/>
          <w:lang w:val="pt-BR"/>
        </w:rPr>
        <w:t>22.357.081/0001-14</w:t>
      </w:r>
    </w:p>
    <w:p w:rsidR="007A2D9D" w:rsidRPr="00D275E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sectPr w:rsidR="007A2D9D" w:rsidRPr="00D275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F5" w:rsidRDefault="000C3AF5" w:rsidP="00C83701">
      <w:r>
        <w:separator/>
      </w:r>
    </w:p>
  </w:endnote>
  <w:endnote w:type="continuationSeparator" w:id="0">
    <w:p w:rsidR="000C3AF5" w:rsidRDefault="000C3AF5" w:rsidP="00C8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F5" w:rsidRDefault="000C3AF5" w:rsidP="00C83701">
      <w:r>
        <w:separator/>
      </w:r>
    </w:p>
  </w:footnote>
  <w:footnote w:type="continuationSeparator" w:id="0">
    <w:p w:rsidR="000C3AF5" w:rsidRDefault="000C3AF5" w:rsidP="00C8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C83701" w:rsidTr="00EC6803">
      <w:trPr>
        <w:trHeight w:val="1140"/>
      </w:trPr>
      <w:tc>
        <w:tcPr>
          <w:tcW w:w="1714" w:type="dxa"/>
        </w:tcPr>
        <w:p w:rsidR="00C83701" w:rsidRDefault="00C83701" w:rsidP="00C83701">
          <w:pPr>
            <w:pStyle w:val="Cabealho"/>
            <w:snapToGrid w:val="0"/>
            <w:rPr>
              <w:rFonts w:ascii="Courier New" w:hAnsi="Courier New" w:cs="Courier New"/>
              <w:b/>
              <w:sz w:val="20"/>
              <w:szCs w:val="20"/>
            </w:rPr>
          </w:pPr>
          <w:r w:rsidRPr="00B474E1">
            <w:rPr>
              <w:noProof/>
              <w:lang w:eastAsia="pt-BR"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C83701" w:rsidRPr="00B474E1" w:rsidRDefault="00C83701" w:rsidP="00C83701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C83701" w:rsidRDefault="00C83701" w:rsidP="00C83701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C83701" w:rsidRPr="00B474E1" w:rsidRDefault="00C83701" w:rsidP="00C83701">
          <w:pPr>
            <w:pStyle w:val="Cabealho"/>
            <w:jc w:val="center"/>
            <w:rPr>
              <w:rFonts w:ascii="Courier New" w:hAnsi="Courier New" w:cs="Courier New"/>
              <w:b/>
              <w:sz w:val="20"/>
              <w:szCs w:val="20"/>
            </w:rPr>
          </w:pPr>
          <w:r w:rsidRPr="00B474E1">
            <w:rPr>
              <w:rFonts w:ascii="Verdana" w:hAnsi="Verdana" w:cs="Courier New"/>
              <w:b/>
              <w:sz w:val="20"/>
              <w:szCs w:val="20"/>
            </w:rPr>
            <w:t>ESTADO DE MINAS GERAIS</w:t>
          </w:r>
        </w:p>
      </w:tc>
    </w:tr>
  </w:tbl>
  <w:p w:rsidR="00C83701" w:rsidRDefault="00C837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1"/>
    <w:rsid w:val="000C3AF5"/>
    <w:rsid w:val="001C4AC7"/>
    <w:rsid w:val="00641DA4"/>
    <w:rsid w:val="00787DBD"/>
    <w:rsid w:val="007A2D9D"/>
    <w:rsid w:val="009F49C4"/>
    <w:rsid w:val="00C83701"/>
    <w:rsid w:val="00D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8CBC-23CF-4D64-BF4B-1AE260E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8370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370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paragraph" w:styleId="Corpodetexto">
    <w:name w:val="Body Text"/>
    <w:basedOn w:val="Normal"/>
    <w:link w:val="CorpodetextoChar"/>
    <w:semiHidden/>
    <w:rsid w:val="00C83701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C8370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semiHidden/>
    <w:rsid w:val="00C83701"/>
    <w:pPr>
      <w:ind w:firstLine="1440"/>
      <w:jc w:val="both"/>
    </w:pPr>
    <w:rPr>
      <w:rFonts w:ascii="Arial" w:hAnsi="Arial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83701"/>
    <w:rPr>
      <w:rFonts w:ascii="Arial" w:eastAsia="Times New Roman" w:hAnsi="Arial" w:cs="Times New Roman"/>
      <w:kern w:val="1"/>
      <w:sz w:val="24"/>
      <w:szCs w:val="24"/>
      <w:lang w:val="x-none" w:eastAsia="ar-SA"/>
    </w:rPr>
  </w:style>
  <w:style w:type="paragraph" w:customStyle="1" w:styleId="Recuodecorpodetexto23">
    <w:name w:val="Recuo de corpo de texto 23"/>
    <w:basedOn w:val="Normal"/>
    <w:rsid w:val="00C83701"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C8370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370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nhideWhenUsed/>
    <w:rsid w:val="00C83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7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83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70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1985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Vieira</dc:creator>
  <cp:keywords/>
  <dc:description/>
  <cp:lastModifiedBy>Licitacao</cp:lastModifiedBy>
  <cp:revision>4</cp:revision>
  <dcterms:created xsi:type="dcterms:W3CDTF">2017-06-23T13:15:00Z</dcterms:created>
  <dcterms:modified xsi:type="dcterms:W3CDTF">2017-06-26T18:20:00Z</dcterms:modified>
</cp:coreProperties>
</file>