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01" w:rsidRPr="00A25450" w:rsidRDefault="00C83701" w:rsidP="00C83701">
      <w:pPr>
        <w:pageBreakBefore/>
        <w:spacing w:line="200" w:lineRule="atLeast"/>
        <w:jc w:val="both"/>
        <w:rPr>
          <w:rFonts w:ascii="Verdana" w:hAnsi="Verdana"/>
          <w:b/>
          <w:sz w:val="22"/>
          <w:szCs w:val="22"/>
        </w:rPr>
      </w:pPr>
      <w:r w:rsidRPr="00A25450">
        <w:rPr>
          <w:rFonts w:ascii="Verdana" w:hAnsi="Verdana"/>
          <w:b/>
          <w:sz w:val="22"/>
          <w:szCs w:val="22"/>
        </w:rPr>
        <w:t>PROCESSO LICITATÓRIO Nº 070/2017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>PREGÃO PRESENCIAL Nº 035/2017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C83701" w:rsidRPr="00A25450" w:rsidRDefault="00C83701" w:rsidP="00C83701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Verdana" w:hAnsi="Verdana"/>
          <w:b/>
          <w:sz w:val="22"/>
          <w:szCs w:val="22"/>
          <w:u w:val="single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>ATA DE REGISTRO DE PREÇOS Nº 030/2017.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>PREGÃO Nº 070/2017.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>PROCESSO Nº 035/2017.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>VALIDADE: 12 meses.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Aos </w:t>
      </w:r>
      <w:r>
        <w:rPr>
          <w:rFonts w:ascii="Verdana" w:hAnsi="Verdana" w:cs="Arial"/>
          <w:sz w:val="22"/>
          <w:szCs w:val="22"/>
          <w:lang w:val="pt-BR"/>
        </w:rPr>
        <w:t xml:space="preserve">14 </w:t>
      </w:r>
      <w:r w:rsidRPr="00A25450">
        <w:rPr>
          <w:rFonts w:ascii="Verdana" w:hAnsi="Verdana" w:cs="Arial"/>
          <w:sz w:val="22"/>
          <w:szCs w:val="22"/>
        </w:rPr>
        <w:t>(</w:t>
      </w:r>
      <w:r>
        <w:rPr>
          <w:rFonts w:ascii="Verdana" w:hAnsi="Verdana" w:cs="Arial"/>
          <w:sz w:val="22"/>
          <w:szCs w:val="22"/>
          <w:lang w:val="pt-BR"/>
        </w:rPr>
        <w:t>quatorze</w:t>
      </w:r>
      <w:r w:rsidRPr="00A25450">
        <w:rPr>
          <w:rFonts w:ascii="Verdana" w:hAnsi="Verdana" w:cs="Arial"/>
          <w:sz w:val="22"/>
          <w:szCs w:val="22"/>
        </w:rPr>
        <w:t xml:space="preserve">) dias do mês de  </w:t>
      </w:r>
      <w:r>
        <w:rPr>
          <w:rFonts w:ascii="Verdana" w:hAnsi="Verdana" w:cs="Arial"/>
          <w:sz w:val="22"/>
          <w:szCs w:val="22"/>
          <w:lang w:val="pt-BR"/>
        </w:rPr>
        <w:t>junho</w:t>
      </w:r>
      <w:r w:rsidRPr="00A25450">
        <w:rPr>
          <w:rFonts w:ascii="Verdana" w:hAnsi="Verdana" w:cs="Arial"/>
          <w:sz w:val="22"/>
          <w:szCs w:val="22"/>
        </w:rPr>
        <w:t xml:space="preserve"> de </w:t>
      </w:r>
      <w:r w:rsidRPr="00A25450">
        <w:rPr>
          <w:rFonts w:ascii="Verdana" w:hAnsi="Verdana" w:cs="Arial"/>
          <w:sz w:val="22"/>
          <w:szCs w:val="22"/>
          <w:lang w:val="pt-BR"/>
        </w:rPr>
        <w:t>2017</w:t>
      </w:r>
      <w:r w:rsidRPr="00A25450">
        <w:rPr>
          <w:rFonts w:ascii="Verdana" w:hAnsi="Verdana" w:cs="Arial"/>
          <w:sz w:val="22"/>
          <w:szCs w:val="22"/>
        </w:rPr>
        <w:t xml:space="preserve">, na sala de licitações, </w:t>
      </w:r>
      <w:r w:rsidRPr="00C83701">
        <w:rPr>
          <w:rFonts w:ascii="Verdana" w:hAnsi="Verdana" w:cs="Arial"/>
          <w:sz w:val="22"/>
          <w:szCs w:val="22"/>
        </w:rPr>
        <w:t xml:space="preserve">na sala de licitações, na sede da Prefeitura Municipal, situada na Rua Francisco Valadares da Fonseca, nº. 250, bairro Vasco Lopes, Papagaios/MG, CEP 35.669-000, o Exmo. Sr. Prefeito Municipal, Sr. Mário Reis </w:t>
      </w:r>
      <w:proofErr w:type="spellStart"/>
      <w:r w:rsidRPr="00C83701">
        <w:rPr>
          <w:rFonts w:ascii="Verdana" w:hAnsi="Verdana" w:cs="Arial"/>
          <w:sz w:val="22"/>
          <w:szCs w:val="22"/>
        </w:rPr>
        <w:t>Filgueiras</w:t>
      </w:r>
      <w:proofErr w:type="spellEnd"/>
      <w:r w:rsidRPr="00C83701">
        <w:rPr>
          <w:rFonts w:ascii="Verdana" w:hAnsi="Verdana" w:cs="Arial"/>
          <w:sz w:val="22"/>
          <w:szCs w:val="22"/>
        </w:rPr>
        <w:t>, nos termos do art. 15 da Lei Federal 8.666/93, da Lei 10.250/02, das demais normas legais aplicáveis, em face da classificação das propostas apresentadas no PREGÃO PARA REGISTRO DE PREÇOS Nº 034/2017 por deliberação do pregoeiro oficial e equipe de apoio, e por ele homologada conforme processo nº 068/2017 RESOLVE registrar os preços para os fornecimentos constantes nos anexos desta ata</w:t>
      </w:r>
      <w:r w:rsidRPr="00A25450">
        <w:rPr>
          <w:rFonts w:ascii="Verdana" w:hAnsi="Verdana" w:cs="Arial"/>
          <w:sz w:val="22"/>
          <w:szCs w:val="22"/>
        </w:rPr>
        <w:t xml:space="preserve">, beneficiário </w:t>
      </w:r>
      <w:r w:rsidR="009F49C4">
        <w:rPr>
          <w:rFonts w:ascii="Verdana" w:hAnsi="Verdana" w:cs="Arial"/>
          <w:b/>
          <w:sz w:val="22"/>
          <w:szCs w:val="22"/>
          <w:lang w:val="pt-BR"/>
        </w:rPr>
        <w:t>BARCELOS &amp; OLIVEIRA MATERIAIS ESPORTIVOS LTDA ME</w:t>
      </w:r>
      <w:r w:rsidRPr="00A25450">
        <w:rPr>
          <w:rFonts w:ascii="Verdana" w:hAnsi="Verdana" w:cs="Arial"/>
          <w:sz w:val="22"/>
          <w:szCs w:val="22"/>
        </w:rPr>
        <w:t xml:space="preserve">, localizado na </w:t>
      </w:r>
      <w:r w:rsidR="009F49C4">
        <w:rPr>
          <w:rFonts w:ascii="Verdana" w:hAnsi="Verdana" w:cs="Arial"/>
          <w:sz w:val="22"/>
          <w:szCs w:val="22"/>
          <w:lang w:val="pt-BR"/>
        </w:rPr>
        <w:t>Avenida Washington Vieira</w:t>
      </w:r>
      <w:r w:rsidRPr="00A25450">
        <w:rPr>
          <w:rFonts w:ascii="Verdana" w:hAnsi="Verdana" w:cs="Arial"/>
          <w:sz w:val="22"/>
          <w:szCs w:val="22"/>
        </w:rPr>
        <w:t>, n°</w:t>
      </w:r>
      <w:r w:rsidR="007A2D9D">
        <w:rPr>
          <w:rFonts w:ascii="Verdana" w:hAnsi="Verdana" w:cs="Arial"/>
          <w:sz w:val="22"/>
          <w:szCs w:val="22"/>
          <w:lang w:val="pt-BR"/>
        </w:rPr>
        <w:t>1</w:t>
      </w:r>
      <w:r w:rsidR="009F49C4">
        <w:rPr>
          <w:rFonts w:ascii="Verdana" w:hAnsi="Verdana" w:cs="Arial"/>
          <w:sz w:val="22"/>
          <w:szCs w:val="22"/>
          <w:lang w:val="pt-BR"/>
        </w:rPr>
        <w:t>0, loja 05,</w:t>
      </w:r>
      <w:r w:rsidRPr="00A25450">
        <w:rPr>
          <w:rFonts w:ascii="Verdana" w:hAnsi="Verdana" w:cs="Arial"/>
          <w:sz w:val="22"/>
          <w:szCs w:val="22"/>
        </w:rPr>
        <w:t xml:space="preserve"> no bairro </w:t>
      </w:r>
      <w:r w:rsidR="007A2D9D">
        <w:rPr>
          <w:rFonts w:ascii="Verdana" w:hAnsi="Verdana" w:cs="Arial"/>
          <w:sz w:val="22"/>
          <w:szCs w:val="22"/>
          <w:lang w:val="pt-BR"/>
        </w:rPr>
        <w:t>Centro</w:t>
      </w:r>
      <w:r w:rsidRPr="00A25450">
        <w:rPr>
          <w:rFonts w:ascii="Verdana" w:hAnsi="Verdana" w:cs="Arial"/>
          <w:sz w:val="22"/>
          <w:szCs w:val="22"/>
        </w:rPr>
        <w:t xml:space="preserve">, na cidade de </w:t>
      </w:r>
      <w:r w:rsidR="007A2D9D">
        <w:rPr>
          <w:rFonts w:ascii="Verdana" w:hAnsi="Verdana" w:cs="Arial"/>
          <w:sz w:val="22"/>
          <w:szCs w:val="22"/>
          <w:lang w:val="pt-BR"/>
        </w:rPr>
        <w:t>Papagaios</w:t>
      </w:r>
      <w:r w:rsidRPr="00A25450">
        <w:rPr>
          <w:rFonts w:ascii="Verdana" w:hAnsi="Verdana" w:cs="Arial"/>
          <w:sz w:val="22"/>
          <w:szCs w:val="22"/>
        </w:rPr>
        <w:t xml:space="preserve">, estado de </w:t>
      </w:r>
      <w:r w:rsidR="007A2D9D">
        <w:rPr>
          <w:rFonts w:ascii="Verdana" w:hAnsi="Verdana" w:cs="Arial"/>
          <w:sz w:val="22"/>
          <w:szCs w:val="22"/>
          <w:lang w:val="pt-BR"/>
        </w:rPr>
        <w:t>Minas Gerais</w:t>
      </w:r>
      <w:r w:rsidRPr="00A25450">
        <w:rPr>
          <w:rFonts w:ascii="Verdana" w:hAnsi="Verdana" w:cs="Arial"/>
          <w:sz w:val="22"/>
          <w:szCs w:val="22"/>
        </w:rPr>
        <w:t xml:space="preserve">, cujo CNPJ é </w:t>
      </w:r>
      <w:r w:rsidR="009F49C4">
        <w:rPr>
          <w:rFonts w:ascii="Verdana" w:hAnsi="Verdana" w:cs="Arial"/>
          <w:sz w:val="22"/>
          <w:szCs w:val="22"/>
          <w:lang w:val="pt-BR"/>
        </w:rPr>
        <w:t>27.180.648/0001-43</w:t>
      </w:r>
      <w:r w:rsidRPr="00A25450">
        <w:rPr>
          <w:rFonts w:ascii="Verdana" w:hAnsi="Verdana" w:cs="Arial"/>
          <w:sz w:val="22"/>
          <w:szCs w:val="22"/>
        </w:rPr>
        <w:t xml:space="preserve">, neste ato representado por </w:t>
      </w:r>
      <w:r w:rsidR="009F49C4">
        <w:rPr>
          <w:rFonts w:ascii="Verdana" w:hAnsi="Verdana" w:cs="Arial"/>
          <w:sz w:val="22"/>
          <w:szCs w:val="22"/>
          <w:lang w:val="pt-BR"/>
        </w:rPr>
        <w:t>Marcelo de Campos Barcelos</w:t>
      </w:r>
      <w:r w:rsidRPr="00A25450">
        <w:rPr>
          <w:rFonts w:ascii="Verdana" w:hAnsi="Verdana" w:cs="Arial"/>
          <w:sz w:val="22"/>
          <w:szCs w:val="22"/>
        </w:rPr>
        <w:t>, conforme quadro abaixo:</w:t>
      </w:r>
    </w:p>
    <w:p w:rsidR="00C83701" w:rsidRPr="00A25450" w:rsidRDefault="00C83701" w:rsidP="00C8370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556"/>
        <w:gridCol w:w="711"/>
        <w:gridCol w:w="993"/>
        <w:gridCol w:w="992"/>
        <w:gridCol w:w="850"/>
        <w:gridCol w:w="1133"/>
        <w:gridCol w:w="855"/>
        <w:gridCol w:w="992"/>
      </w:tblGrid>
      <w:tr w:rsidR="007A2D9D" w:rsidRPr="00CB6446" w:rsidTr="007A2D9D">
        <w:tc>
          <w:tcPr>
            <w:tcW w:w="565" w:type="dxa"/>
            <w:vMerge w:val="restart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CB6446">
              <w:rPr>
                <w:rFonts w:ascii="Verdana" w:hAnsi="Verdana" w:cs="Arial"/>
                <w:b/>
                <w:sz w:val="16"/>
                <w:szCs w:val="16"/>
              </w:rPr>
              <w:t>ITEM</w:t>
            </w:r>
          </w:p>
        </w:tc>
        <w:tc>
          <w:tcPr>
            <w:tcW w:w="1556" w:type="dxa"/>
            <w:vMerge w:val="restart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B6446">
              <w:rPr>
                <w:rFonts w:ascii="Verdana" w:hAnsi="Verdana" w:cs="Arial"/>
                <w:b/>
                <w:sz w:val="16"/>
                <w:szCs w:val="16"/>
              </w:rPr>
              <w:t>DESCRIÇÃO DO ITEM</w:t>
            </w:r>
          </w:p>
        </w:tc>
        <w:tc>
          <w:tcPr>
            <w:tcW w:w="6526" w:type="dxa"/>
            <w:gridSpan w:val="7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B6446">
              <w:rPr>
                <w:rFonts w:ascii="Verdana" w:hAnsi="Verdana" w:cs="Arial"/>
                <w:b/>
                <w:sz w:val="16"/>
                <w:szCs w:val="16"/>
              </w:rPr>
              <w:t>QUANTIDADE/ VALOR</w:t>
            </w:r>
          </w:p>
        </w:tc>
      </w:tr>
      <w:tr w:rsidR="007A2D9D" w:rsidRPr="00CB6446" w:rsidTr="007A2D9D">
        <w:tc>
          <w:tcPr>
            <w:tcW w:w="565" w:type="dxa"/>
            <w:vMerge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6" w:type="dxa"/>
            <w:vMerge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96" w:type="dxa"/>
            <w:gridSpan w:val="3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6446">
              <w:rPr>
                <w:rFonts w:ascii="Verdana" w:hAnsi="Verdana" w:cs="Arial"/>
                <w:sz w:val="16"/>
                <w:szCs w:val="16"/>
              </w:rPr>
              <w:t>Órgão gerenciador</w:t>
            </w:r>
          </w:p>
        </w:tc>
        <w:tc>
          <w:tcPr>
            <w:tcW w:w="1983" w:type="dxa"/>
            <w:gridSpan w:val="2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6446">
              <w:rPr>
                <w:rFonts w:ascii="Verdana" w:hAnsi="Verdana" w:cs="Arial"/>
                <w:sz w:val="16"/>
                <w:szCs w:val="16"/>
              </w:rPr>
              <w:t>Total a ser registrada e limite por adesão</w:t>
            </w:r>
          </w:p>
        </w:tc>
        <w:tc>
          <w:tcPr>
            <w:tcW w:w="1847" w:type="dxa"/>
            <w:gridSpan w:val="2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6446">
              <w:rPr>
                <w:rFonts w:ascii="Verdana" w:hAnsi="Verdana" w:cs="Arial"/>
                <w:sz w:val="16"/>
                <w:szCs w:val="16"/>
              </w:rPr>
              <w:t>Limite decorrente de adesões</w:t>
            </w:r>
          </w:p>
        </w:tc>
      </w:tr>
      <w:tr w:rsidR="007A2D9D" w:rsidRPr="00CB6446" w:rsidTr="007A2D9D">
        <w:tc>
          <w:tcPr>
            <w:tcW w:w="565" w:type="dxa"/>
            <w:vMerge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6" w:type="dxa"/>
            <w:vMerge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6446">
              <w:rPr>
                <w:rFonts w:ascii="Verdana" w:hAnsi="Verdana" w:cs="Arial"/>
                <w:sz w:val="16"/>
                <w:szCs w:val="16"/>
              </w:rPr>
              <w:t>Qtde</w:t>
            </w:r>
            <w:proofErr w:type="spellEnd"/>
            <w:r w:rsidRPr="00CB6446">
              <w:rPr>
                <w:rFonts w:ascii="Verdana" w:hAnsi="Verdana" w:cs="Arial"/>
                <w:sz w:val="16"/>
                <w:szCs w:val="16"/>
              </w:rPr>
              <w:t>. Estimada</w:t>
            </w:r>
          </w:p>
        </w:tc>
        <w:tc>
          <w:tcPr>
            <w:tcW w:w="993" w:type="dxa"/>
            <w:shd w:val="clear" w:color="auto" w:fill="FFFFFF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6446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6446">
              <w:rPr>
                <w:rFonts w:ascii="Verdana" w:hAnsi="Verdana" w:cs="Arial"/>
                <w:sz w:val="16"/>
                <w:szCs w:val="16"/>
              </w:rPr>
              <w:t>Unitário</w:t>
            </w:r>
          </w:p>
        </w:tc>
        <w:tc>
          <w:tcPr>
            <w:tcW w:w="992" w:type="dxa"/>
            <w:shd w:val="clear" w:color="auto" w:fill="FFFFFF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6446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6446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  <w:tc>
          <w:tcPr>
            <w:tcW w:w="850" w:type="dxa"/>
            <w:shd w:val="clear" w:color="auto" w:fill="FFFFFF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6446">
              <w:rPr>
                <w:rFonts w:ascii="Verdana" w:hAnsi="Verdana" w:cs="Arial"/>
                <w:sz w:val="16"/>
                <w:szCs w:val="16"/>
              </w:rPr>
              <w:t>Qtde</w:t>
            </w:r>
            <w:proofErr w:type="spellEnd"/>
            <w:r w:rsidRPr="00CB6446">
              <w:rPr>
                <w:rFonts w:ascii="Verdana" w:hAnsi="Verdana" w:cs="Arial"/>
                <w:sz w:val="16"/>
                <w:szCs w:val="16"/>
              </w:rPr>
              <w:t>. Estimada</w:t>
            </w:r>
          </w:p>
        </w:tc>
        <w:tc>
          <w:tcPr>
            <w:tcW w:w="1133" w:type="dxa"/>
            <w:shd w:val="clear" w:color="auto" w:fill="FFFFFF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6446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6446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  <w:tc>
          <w:tcPr>
            <w:tcW w:w="855" w:type="dxa"/>
            <w:shd w:val="clear" w:color="auto" w:fill="FFFFFF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6446">
              <w:rPr>
                <w:rFonts w:ascii="Verdana" w:hAnsi="Verdana" w:cs="Arial"/>
                <w:sz w:val="16"/>
                <w:szCs w:val="16"/>
              </w:rPr>
              <w:t>Qtde</w:t>
            </w:r>
            <w:proofErr w:type="spellEnd"/>
            <w:r w:rsidRPr="00CB6446">
              <w:rPr>
                <w:rFonts w:ascii="Verdana" w:hAnsi="Verdana" w:cs="Arial"/>
                <w:sz w:val="16"/>
                <w:szCs w:val="16"/>
              </w:rPr>
              <w:t>. Estimada</w:t>
            </w:r>
          </w:p>
        </w:tc>
        <w:tc>
          <w:tcPr>
            <w:tcW w:w="992" w:type="dxa"/>
            <w:shd w:val="clear" w:color="auto" w:fill="FFFFFF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6446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6446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</w:tr>
      <w:tr w:rsidR="009F49C4" w:rsidTr="007A2D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C4" w:rsidRDefault="009F49C4" w:rsidP="009F49C4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C4" w:rsidRDefault="009F49C4" w:rsidP="009F49C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Bola basquete oficial, confeccionada em borracha, câmara de ar em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butil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, miolo de válvula removível,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matrizada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, peso entre 570 e 650g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63,0000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  1.260,00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1.260,00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6.300,00 </w:t>
            </w:r>
          </w:p>
        </w:tc>
      </w:tr>
      <w:tr w:rsidR="009F49C4" w:rsidTr="007A2D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lastRenderedPageBreak/>
              <w:t>4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C4" w:rsidRDefault="009F49C4" w:rsidP="009F49C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Bola de campo em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Termotec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, laminado em PU, com câmara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airbility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com miolo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slip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, peso entre 410-450G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109,0000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10.900,00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10.900,00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54.500,00 </w:t>
            </w:r>
          </w:p>
        </w:tc>
      </w:tr>
      <w:tr w:rsidR="009F49C4" w:rsidTr="007A2D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C4" w:rsidRDefault="009F49C4" w:rsidP="009F49C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Bola futsal,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Termotec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, costurada, oficial, modelo aprovada pela CBFS ou FMFS, confeccionada em PU, câmara de ar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arbility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, válvula com miolo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slip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, peso entre 350 e 380g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119,0000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17.850,00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17.850,00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89.250,00 </w:t>
            </w:r>
          </w:p>
        </w:tc>
      </w:tr>
      <w:tr w:rsidR="009F49C4" w:rsidTr="007A2D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C4" w:rsidRDefault="009F49C4" w:rsidP="009F49C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Bola futsal,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termotec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, costurada, oficial, categoria adulto, modelo aprovada pela CBFS ou FMFS, confeccionada em PU ultra 100%, câmara de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arbility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ou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similiar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, com miolo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slip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, peso entre 410 e 440g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119,0000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23.800,00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23.800,00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119.000,00 </w:t>
            </w:r>
          </w:p>
        </w:tc>
      </w:tr>
      <w:tr w:rsidR="009F49C4" w:rsidTr="007A2D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C4" w:rsidRDefault="009F49C4" w:rsidP="009F49C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Meião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com pé atoalhado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    9,1500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 5.490,00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5.490,00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27.450,00 </w:t>
            </w:r>
          </w:p>
        </w:tc>
      </w:tr>
      <w:tr w:rsidR="009F49C4" w:rsidTr="007A2D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C4" w:rsidRDefault="009F49C4" w:rsidP="009F49C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Rede de futebol de campo fio duplo, em polietileno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impermeabilizado resistente a raio UV, com fio de 3mm, tamanho oficial quadrado.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138,0000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 11.040,00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11.040,00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55.200,00 </w:t>
            </w:r>
          </w:p>
        </w:tc>
      </w:tr>
      <w:tr w:rsidR="009F49C4" w:rsidTr="007A2D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lastRenderedPageBreak/>
              <w:t>22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C4" w:rsidRDefault="009F49C4" w:rsidP="009F49C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Rede de vôlei em polietileno impermeabilizado, resistente a raio UV, com fio de 3mm de espessura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99,0000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 2.970,00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2.970,00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9C4" w:rsidRDefault="009F49C4" w:rsidP="009F49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14.850,00 </w:t>
            </w:r>
          </w:p>
        </w:tc>
      </w:tr>
    </w:tbl>
    <w:p w:rsidR="007A2D9D" w:rsidRDefault="007A2D9D" w:rsidP="00C83701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01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C83701" w:rsidRPr="00A25450" w:rsidRDefault="00C83701" w:rsidP="00C83701">
      <w:pPr>
        <w:pStyle w:val="Recuodecorpodetexto"/>
        <w:spacing w:line="200" w:lineRule="atLeast"/>
        <w:ind w:firstLine="0"/>
        <w:rPr>
          <w:rFonts w:ascii="Verdana" w:hAnsi="Verdana"/>
          <w:sz w:val="22"/>
          <w:szCs w:val="22"/>
        </w:rPr>
      </w:pPr>
      <w:r w:rsidRPr="00A25450">
        <w:rPr>
          <w:rFonts w:ascii="Verdana" w:hAnsi="Verdana"/>
          <w:sz w:val="22"/>
          <w:szCs w:val="22"/>
        </w:rPr>
        <w:t xml:space="preserve">I </w:t>
      </w:r>
      <w:r w:rsidRPr="00A25450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C83701" w:rsidRPr="00A25450" w:rsidRDefault="00C83701" w:rsidP="00C83701">
      <w:pPr>
        <w:pStyle w:val="Recuodecorpodetexto"/>
        <w:spacing w:line="200" w:lineRule="atLeast"/>
        <w:ind w:firstLine="0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02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C83701" w:rsidRPr="00A25450" w:rsidRDefault="00C83701" w:rsidP="00C83701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tabs>
          <w:tab w:val="right" w:pos="7944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03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tabs>
          <w:tab w:val="right" w:pos="2401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04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035/2017.</w:t>
      </w:r>
    </w:p>
    <w:p w:rsidR="00C83701" w:rsidRPr="00A25450" w:rsidRDefault="00C83701" w:rsidP="00C83701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tabs>
          <w:tab w:val="right" w:pos="9122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035/2017, que integra o presente instrumento de compromisso.</w:t>
      </w:r>
    </w:p>
    <w:p w:rsidR="00C83701" w:rsidRPr="00A25450" w:rsidRDefault="00C83701" w:rsidP="00C83701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tabs>
          <w:tab w:val="right" w:pos="9106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035/2017 pelas empresas detentoras da presente Ata, as quais também a integram.</w:t>
      </w:r>
    </w:p>
    <w:p w:rsidR="00C83701" w:rsidRPr="00A25450" w:rsidRDefault="00C83701" w:rsidP="00C83701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C83701" w:rsidRPr="00A25450" w:rsidRDefault="00C83701" w:rsidP="00C83701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05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tabs>
          <w:tab w:val="right" w:pos="3229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06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A25450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A25450">
        <w:rPr>
          <w:rFonts w:ascii="Verdana" w:hAnsi="Verdana" w:cs="Arial"/>
          <w:sz w:val="22"/>
          <w:szCs w:val="22"/>
        </w:rPr>
        <w:t>definitivo pela unidade requisitante</w:t>
      </w:r>
      <w:r w:rsidRPr="00A25450">
        <w:rPr>
          <w:rFonts w:ascii="Verdana" w:hAnsi="Verdana" w:cs="Arial"/>
          <w:bCs/>
          <w:sz w:val="22"/>
          <w:szCs w:val="22"/>
        </w:rPr>
        <w:t xml:space="preserve"> do objeto, </w:t>
      </w:r>
      <w:r w:rsidRPr="00A25450">
        <w:rPr>
          <w:rFonts w:ascii="Verdana" w:hAnsi="Verdana" w:cs="Arial"/>
          <w:sz w:val="22"/>
          <w:szCs w:val="22"/>
        </w:rPr>
        <w:t>mediante apresentação da Nota Fiscal.</w:t>
      </w:r>
    </w:p>
    <w:p w:rsidR="00C83701" w:rsidRPr="00A25450" w:rsidRDefault="00C83701" w:rsidP="00C83701">
      <w:pPr>
        <w:jc w:val="both"/>
        <w:rPr>
          <w:rFonts w:ascii="Verdana" w:hAnsi="Verdana" w:cs="Arial"/>
          <w:bCs/>
          <w:sz w:val="22"/>
          <w:szCs w:val="22"/>
        </w:rPr>
      </w:pPr>
    </w:p>
    <w:p w:rsidR="00C83701" w:rsidRPr="00A25450" w:rsidRDefault="00C83701" w:rsidP="00C83701">
      <w:pPr>
        <w:jc w:val="both"/>
        <w:rPr>
          <w:rFonts w:ascii="Verdana" w:hAnsi="Verdana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</w:t>
      </w:r>
      <w:r w:rsidRPr="00A25450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83701" w:rsidRPr="00A25450" w:rsidRDefault="00C83701" w:rsidP="00C83701">
      <w:pPr>
        <w:jc w:val="both"/>
        <w:rPr>
          <w:rFonts w:ascii="Verdana" w:hAnsi="Verdana"/>
          <w:sz w:val="22"/>
          <w:szCs w:val="22"/>
        </w:rPr>
      </w:pPr>
      <w:r w:rsidRPr="00A25450">
        <w:rPr>
          <w:rFonts w:ascii="Verdana" w:hAnsi="Verdana"/>
          <w:sz w:val="22"/>
          <w:szCs w:val="22"/>
        </w:rPr>
        <w:t xml:space="preserve">I= (TX/100) </w:t>
      </w:r>
    </w:p>
    <w:p w:rsidR="00C83701" w:rsidRPr="00A25450" w:rsidRDefault="00C83701" w:rsidP="00C83701">
      <w:pPr>
        <w:jc w:val="both"/>
        <w:rPr>
          <w:rFonts w:ascii="Verdana" w:hAnsi="Verdana"/>
          <w:sz w:val="22"/>
          <w:szCs w:val="22"/>
        </w:rPr>
      </w:pPr>
      <w:r w:rsidRPr="00A25450">
        <w:rPr>
          <w:rFonts w:ascii="Verdana" w:hAnsi="Verdana"/>
          <w:sz w:val="22"/>
          <w:szCs w:val="22"/>
        </w:rPr>
        <w:t xml:space="preserve">EM = I x N x VP, onde: </w:t>
      </w:r>
    </w:p>
    <w:p w:rsidR="00C83701" w:rsidRPr="00A25450" w:rsidRDefault="00C83701" w:rsidP="00C83701">
      <w:pPr>
        <w:jc w:val="both"/>
        <w:rPr>
          <w:rFonts w:ascii="Verdana" w:hAnsi="Verdana"/>
          <w:sz w:val="22"/>
          <w:szCs w:val="22"/>
        </w:rPr>
      </w:pPr>
      <w:r w:rsidRPr="00A25450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C83701" w:rsidRPr="00A25450" w:rsidRDefault="00C83701" w:rsidP="00C83701">
      <w:pPr>
        <w:jc w:val="both"/>
        <w:rPr>
          <w:rFonts w:ascii="Verdana" w:hAnsi="Verdana"/>
          <w:sz w:val="22"/>
          <w:szCs w:val="22"/>
        </w:rPr>
      </w:pPr>
      <w:r w:rsidRPr="00A25450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C83701" w:rsidRPr="00A25450" w:rsidRDefault="00C83701" w:rsidP="00C83701">
      <w:pPr>
        <w:jc w:val="both"/>
        <w:rPr>
          <w:rFonts w:ascii="Verdana" w:hAnsi="Verdana"/>
          <w:sz w:val="22"/>
          <w:szCs w:val="22"/>
        </w:rPr>
      </w:pPr>
      <w:r w:rsidRPr="00A25450">
        <w:rPr>
          <w:rFonts w:ascii="Verdana" w:hAnsi="Verdana"/>
          <w:sz w:val="22"/>
          <w:szCs w:val="22"/>
        </w:rPr>
        <w:t xml:space="preserve">EM = Encargos moratórios; </w:t>
      </w:r>
    </w:p>
    <w:p w:rsidR="00C83701" w:rsidRPr="00A25450" w:rsidRDefault="00C83701" w:rsidP="00C83701">
      <w:pPr>
        <w:jc w:val="both"/>
        <w:rPr>
          <w:rFonts w:ascii="Verdana" w:hAnsi="Verdana"/>
          <w:sz w:val="22"/>
          <w:szCs w:val="22"/>
        </w:rPr>
      </w:pPr>
      <w:r w:rsidRPr="00A25450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C83701" w:rsidRPr="00A25450" w:rsidRDefault="00C83701" w:rsidP="00C83701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>VP = Valor da parcela em atraso</w:t>
      </w:r>
    </w:p>
    <w:p w:rsidR="00C83701" w:rsidRPr="00A25450" w:rsidRDefault="00C83701" w:rsidP="00C83701">
      <w:pPr>
        <w:jc w:val="both"/>
        <w:rPr>
          <w:rFonts w:ascii="Verdana" w:hAnsi="Verdana" w:cs="Arial"/>
          <w:bCs/>
          <w:sz w:val="22"/>
          <w:szCs w:val="22"/>
        </w:rPr>
      </w:pPr>
    </w:p>
    <w:p w:rsidR="00C83701" w:rsidRPr="00A25450" w:rsidRDefault="00C83701" w:rsidP="00C83701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07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C83701" w:rsidRPr="00A25450" w:rsidRDefault="00C83701" w:rsidP="00C83701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lastRenderedPageBreak/>
        <w:t xml:space="preserve">III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IV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V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VI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VII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08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 recusa injustificada, das detentoras desta Ata, em atender as ordens de fornecimento, dentro do prazo de cinco dias, contados da sua emissão, poderá implicar na aplicação da multa de 50% (cinquenta por cento) do valor do documento de empenhamento de recursos.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Pela inexecução total ou parcial de cada ajuste representado pela nota de empenho, a Administração poderá aplicar, às detentoras da presente Ata, a penalidade, de dez por cento do valor remanescente da nota de empenho, em qualquer hipótese de inexecução parcial do contrato, ou de qualquer outra irregularidade.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IV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tabs>
          <w:tab w:val="right" w:pos="6019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09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035/2017, que integra a presente Ata de Registro de Preços, ressalvados os casos de revisão de registro a que se refere o Decreto instituidor do Registro de preços.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10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C83701" w:rsidRPr="00A25450" w:rsidRDefault="00C83701" w:rsidP="00C83701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11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C83701" w:rsidRPr="00A25450" w:rsidRDefault="00C83701" w:rsidP="00C83701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C83701" w:rsidRPr="00A25450" w:rsidRDefault="00C83701" w:rsidP="00C83701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>Pela Administração, quando:</w:t>
      </w:r>
    </w:p>
    <w:p w:rsidR="00C83701" w:rsidRPr="00A25450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A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A25450">
        <w:rPr>
          <w:rFonts w:ascii="Verdana" w:hAnsi="Verdana" w:cs="Arial"/>
          <w:sz w:val="22"/>
          <w:szCs w:val="22"/>
        </w:rPr>
        <w:t>a</w:t>
      </w:r>
      <w:proofErr w:type="spellEnd"/>
      <w:r w:rsidRPr="00A25450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C83701" w:rsidRPr="00A25450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B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C83701" w:rsidRPr="00A25450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C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C83701" w:rsidRPr="00A25450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D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83701" w:rsidRPr="00A25450" w:rsidRDefault="00C83701" w:rsidP="00C83701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E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C83701" w:rsidRPr="00A25450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F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C83701" w:rsidRPr="00A25450" w:rsidRDefault="00C83701" w:rsidP="00C83701">
      <w:pPr>
        <w:pStyle w:val="Recuodecorpodetexto"/>
        <w:spacing w:line="200" w:lineRule="atLeast"/>
        <w:ind w:firstLine="0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pStyle w:val="Recuodecorpodetexto"/>
        <w:spacing w:line="200" w:lineRule="atLeast"/>
        <w:ind w:firstLine="0"/>
        <w:rPr>
          <w:rFonts w:ascii="Verdana" w:hAnsi="Verdana"/>
          <w:sz w:val="22"/>
          <w:szCs w:val="22"/>
        </w:rPr>
      </w:pPr>
      <w:r w:rsidRPr="00A25450">
        <w:rPr>
          <w:rFonts w:ascii="Verdana" w:hAnsi="Verdana"/>
          <w:sz w:val="22"/>
          <w:szCs w:val="22"/>
        </w:rPr>
        <w:t xml:space="preserve">G </w:t>
      </w:r>
      <w:r w:rsidRPr="00A25450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</w:t>
      </w:r>
      <w:r w:rsidRPr="00A25450">
        <w:rPr>
          <w:rFonts w:ascii="Verdana" w:hAnsi="Verdana"/>
          <w:sz w:val="22"/>
          <w:szCs w:val="22"/>
        </w:rPr>
        <w:lastRenderedPageBreak/>
        <w:t>recebimento, juntando-se o comprovante ao processo de administração da presente Ata de Registro de Preços;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83701" w:rsidRPr="00A25450" w:rsidRDefault="00C83701" w:rsidP="00C83701">
      <w:pPr>
        <w:pStyle w:val="Recuodecorpodetexto23"/>
        <w:spacing w:after="0" w:line="200" w:lineRule="atLeast"/>
        <w:ind w:left="0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>Pelas detentoras, quando</w:t>
      </w:r>
      <w:r w:rsidRPr="00A25450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83701" w:rsidRPr="00A25450" w:rsidRDefault="00C83701" w:rsidP="00C83701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tabs>
          <w:tab w:val="left" w:pos="717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A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A25450">
        <w:rPr>
          <w:rFonts w:ascii="Verdana" w:hAnsi="Verdana" w:cs="Arial"/>
          <w:sz w:val="22"/>
          <w:szCs w:val="22"/>
        </w:rPr>
        <w:t>a</w:t>
      </w:r>
      <w:proofErr w:type="spellEnd"/>
      <w:r w:rsidRPr="00A25450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83701" w:rsidRPr="00A25450" w:rsidRDefault="00C83701" w:rsidP="00C83701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C83701" w:rsidRPr="00A25450" w:rsidRDefault="00C83701" w:rsidP="00C83701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12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>I</w:t>
      </w:r>
      <w:r w:rsidRPr="00A25450">
        <w:rPr>
          <w:rFonts w:ascii="Verdana" w:hAnsi="Verdana" w:cs="Arial"/>
          <w:b/>
          <w:sz w:val="22"/>
          <w:szCs w:val="22"/>
        </w:rPr>
        <w:t xml:space="preserve"> </w:t>
      </w:r>
      <w:r w:rsidRPr="00A25450">
        <w:rPr>
          <w:rFonts w:ascii="Verdana" w:hAnsi="Verdana" w:cs="Arial"/>
          <w:b/>
          <w:sz w:val="22"/>
          <w:szCs w:val="22"/>
        </w:rPr>
        <w:noBreakHyphen/>
      </w:r>
      <w:r w:rsidRPr="00A25450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Secretário requisitante.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color w:val="000000"/>
          <w:sz w:val="22"/>
          <w:szCs w:val="22"/>
        </w:rPr>
        <w:t xml:space="preserve">13- </w:t>
      </w:r>
      <w:r w:rsidRPr="00A25450">
        <w:rPr>
          <w:rFonts w:ascii="Verdana" w:hAnsi="Verdana" w:cs="Arial"/>
          <w:b/>
          <w:sz w:val="22"/>
          <w:szCs w:val="22"/>
        </w:rPr>
        <w:t>DAS DISPOSIÇÕES FINAIS</w:t>
      </w:r>
    </w:p>
    <w:p w:rsidR="00C83701" w:rsidRPr="00A25450" w:rsidRDefault="00C83701" w:rsidP="00C83701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>14.1. Integram esta Ata, o edital do Pregão nº 035/2017 e as propostas das empresas classificadas no certame supranumerado.</w:t>
      </w:r>
    </w:p>
    <w:p w:rsidR="00C83701" w:rsidRPr="00A25450" w:rsidRDefault="00C83701" w:rsidP="00C83701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tabs>
          <w:tab w:val="right" w:pos="9112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C83701" w:rsidRPr="00A25450" w:rsidRDefault="00C83701" w:rsidP="00C83701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center"/>
        <w:rPr>
          <w:rFonts w:ascii="Verdana" w:hAnsi="Verdana" w:cs="Arial"/>
          <w:sz w:val="22"/>
          <w:szCs w:val="22"/>
        </w:rPr>
      </w:pPr>
    </w:p>
    <w:p w:rsidR="007A2D9D" w:rsidRPr="00781858" w:rsidRDefault="007A2D9D" w:rsidP="007A2D9D">
      <w:pPr>
        <w:spacing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Papagaios, </w:t>
      </w:r>
      <w:r>
        <w:rPr>
          <w:rFonts w:ascii="Verdana" w:hAnsi="Verdana" w:cs="Arial"/>
          <w:color w:val="000000"/>
          <w:sz w:val="21"/>
          <w:szCs w:val="21"/>
        </w:rPr>
        <w:t>14</w:t>
      </w:r>
      <w:r>
        <w:rPr>
          <w:rFonts w:ascii="Verdana" w:hAnsi="Verdana" w:cs="Arial"/>
          <w:color w:val="000000"/>
          <w:sz w:val="21"/>
          <w:szCs w:val="21"/>
        </w:rPr>
        <w:t xml:space="preserve"> de junho de 2017</w:t>
      </w:r>
      <w:r w:rsidRPr="00781858">
        <w:rPr>
          <w:rFonts w:ascii="Verdana" w:hAnsi="Verdana" w:cs="Arial"/>
          <w:color w:val="000000"/>
          <w:sz w:val="21"/>
          <w:szCs w:val="21"/>
        </w:rPr>
        <w:t>.</w:t>
      </w:r>
    </w:p>
    <w:p w:rsidR="007A2D9D" w:rsidRPr="00781858" w:rsidRDefault="007A2D9D" w:rsidP="007A2D9D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7A2D9D" w:rsidRPr="00781858" w:rsidRDefault="007A2D9D" w:rsidP="007A2D9D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7A2D9D" w:rsidRPr="00781858" w:rsidRDefault="007A2D9D" w:rsidP="007A2D9D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7A2D9D" w:rsidRPr="00781858" w:rsidRDefault="007A2D9D" w:rsidP="007A2D9D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7A2D9D" w:rsidRPr="00781858" w:rsidRDefault="007A2D9D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Município de Papagaios/MG  </w:t>
      </w:r>
    </w:p>
    <w:p w:rsidR="007A2D9D" w:rsidRPr="00781858" w:rsidRDefault="007A2D9D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Mário Reis </w:t>
      </w:r>
      <w:proofErr w:type="spellStart"/>
      <w:r w:rsidRPr="00781858">
        <w:rPr>
          <w:rFonts w:ascii="Verdana" w:hAnsi="Verdana" w:cs="Arial"/>
          <w:color w:val="000000"/>
          <w:sz w:val="21"/>
          <w:szCs w:val="21"/>
        </w:rPr>
        <w:t>Filgueiras</w:t>
      </w:r>
      <w:proofErr w:type="spellEnd"/>
    </w:p>
    <w:p w:rsidR="007A2D9D" w:rsidRPr="00781858" w:rsidRDefault="007A2D9D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7A2D9D" w:rsidRPr="00781858" w:rsidRDefault="007A2D9D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7A2D9D" w:rsidRPr="00781858" w:rsidRDefault="007A2D9D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7A2D9D" w:rsidRPr="007A2D9D" w:rsidRDefault="009F49C4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  <w:lang w:val="pt-BR"/>
        </w:rPr>
      </w:pPr>
      <w:r>
        <w:rPr>
          <w:rFonts w:ascii="Verdana" w:hAnsi="Verdana" w:cs="Arial"/>
          <w:color w:val="000000"/>
          <w:sz w:val="21"/>
          <w:szCs w:val="21"/>
          <w:lang w:val="pt-BR"/>
        </w:rPr>
        <w:t xml:space="preserve">Barcelos &amp; Oliveira Materiais Esportivos </w:t>
      </w:r>
      <w:proofErr w:type="spellStart"/>
      <w:r>
        <w:rPr>
          <w:rFonts w:ascii="Verdana" w:hAnsi="Verdana" w:cs="Arial"/>
          <w:color w:val="000000"/>
          <w:sz w:val="21"/>
          <w:szCs w:val="21"/>
          <w:lang w:val="pt-BR"/>
        </w:rPr>
        <w:t>Ltda</w:t>
      </w:r>
      <w:proofErr w:type="spellEnd"/>
      <w:r>
        <w:rPr>
          <w:rFonts w:ascii="Verdana" w:hAnsi="Verdana" w:cs="Arial"/>
          <w:color w:val="000000"/>
          <w:sz w:val="21"/>
          <w:szCs w:val="21"/>
          <w:lang w:val="pt-BR"/>
        </w:rPr>
        <w:t xml:space="preserve"> ME</w:t>
      </w:r>
    </w:p>
    <w:p w:rsidR="007A2D9D" w:rsidRPr="007A2D9D" w:rsidRDefault="007A2D9D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  <w:lang w:val="pt-BR"/>
        </w:rPr>
      </w:pPr>
      <w:r w:rsidRPr="00B03E45">
        <w:rPr>
          <w:rFonts w:ascii="Verdana" w:hAnsi="Verdana" w:cs="Arial"/>
          <w:color w:val="000000"/>
          <w:sz w:val="21"/>
          <w:szCs w:val="21"/>
        </w:rPr>
        <w:t xml:space="preserve">CNPJ/MF </w:t>
      </w:r>
      <w:r w:rsidR="009F49C4">
        <w:rPr>
          <w:rFonts w:ascii="Verdana" w:hAnsi="Verdana" w:cs="Arial"/>
          <w:color w:val="000000"/>
          <w:sz w:val="21"/>
          <w:szCs w:val="21"/>
          <w:lang w:val="pt-BR"/>
        </w:rPr>
        <w:t>27.180.648/0001-43</w:t>
      </w:r>
      <w:bookmarkStart w:id="0" w:name="_GoBack"/>
      <w:bookmarkEnd w:id="0"/>
    </w:p>
    <w:p w:rsidR="007A2D9D" w:rsidRPr="00B03E45" w:rsidRDefault="007A2D9D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sectPr w:rsidR="007A2D9D" w:rsidRPr="00B03E4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442" w:rsidRDefault="001F7442" w:rsidP="00C83701">
      <w:r>
        <w:separator/>
      </w:r>
    </w:p>
  </w:endnote>
  <w:endnote w:type="continuationSeparator" w:id="0">
    <w:p w:rsidR="001F7442" w:rsidRDefault="001F7442" w:rsidP="00C8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442" w:rsidRDefault="001F7442" w:rsidP="00C83701">
      <w:r>
        <w:separator/>
      </w:r>
    </w:p>
  </w:footnote>
  <w:footnote w:type="continuationSeparator" w:id="0">
    <w:p w:rsidR="001F7442" w:rsidRDefault="001F7442" w:rsidP="00C83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C83701" w:rsidTr="00EC6803">
      <w:trPr>
        <w:trHeight w:val="1140"/>
      </w:trPr>
      <w:tc>
        <w:tcPr>
          <w:tcW w:w="1714" w:type="dxa"/>
        </w:tcPr>
        <w:p w:rsidR="00C83701" w:rsidRDefault="00C83701" w:rsidP="00C83701">
          <w:pPr>
            <w:pStyle w:val="Cabealho"/>
            <w:snapToGrid w:val="0"/>
            <w:rPr>
              <w:rFonts w:ascii="Courier New" w:hAnsi="Courier New" w:cs="Courier New"/>
              <w:b/>
              <w:sz w:val="20"/>
              <w:szCs w:val="20"/>
            </w:rPr>
          </w:pPr>
          <w:r w:rsidRPr="00B474E1">
            <w:rPr>
              <w:noProof/>
              <w:lang w:eastAsia="pt-BR"/>
            </w:rPr>
            <w:drawing>
              <wp:inline distT="0" distB="0" distL="0" distR="0">
                <wp:extent cx="752475" cy="723900"/>
                <wp:effectExtent l="0" t="0" r="9525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:rsidR="00C83701" w:rsidRPr="00B474E1" w:rsidRDefault="00C83701" w:rsidP="00C83701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:rsidR="00C83701" w:rsidRDefault="00C83701" w:rsidP="00C83701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B474E1">
            <w:rPr>
              <w:rFonts w:ascii="Verdana" w:hAnsi="Verdana" w:cs="Courier New"/>
              <w:b/>
            </w:rPr>
            <w:t>PREFEITURA MUNICIPAL DE PAPAGAIOS</w:t>
          </w:r>
        </w:p>
        <w:p w:rsidR="00C83701" w:rsidRPr="00B474E1" w:rsidRDefault="00C83701" w:rsidP="00C83701">
          <w:pPr>
            <w:pStyle w:val="Cabealho"/>
            <w:jc w:val="center"/>
            <w:rPr>
              <w:rFonts w:ascii="Courier New" w:hAnsi="Courier New" w:cs="Courier New"/>
              <w:b/>
              <w:sz w:val="20"/>
              <w:szCs w:val="20"/>
            </w:rPr>
          </w:pPr>
          <w:r w:rsidRPr="00B474E1">
            <w:rPr>
              <w:rFonts w:ascii="Verdana" w:hAnsi="Verdana" w:cs="Courier New"/>
              <w:b/>
              <w:sz w:val="20"/>
              <w:szCs w:val="20"/>
            </w:rPr>
            <w:t>ESTADO DE MINAS GERAIS</w:t>
          </w:r>
        </w:p>
      </w:tc>
    </w:tr>
  </w:tbl>
  <w:p w:rsidR="00C83701" w:rsidRDefault="00C837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01"/>
    <w:rsid w:val="001F7442"/>
    <w:rsid w:val="00641DA4"/>
    <w:rsid w:val="007A2D9D"/>
    <w:rsid w:val="009F49C4"/>
    <w:rsid w:val="00C8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D8CBC-23CF-4D64-BF4B-1AE260E5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70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8370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370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paragraph" w:styleId="Corpodetexto">
    <w:name w:val="Body Text"/>
    <w:basedOn w:val="Normal"/>
    <w:link w:val="CorpodetextoChar"/>
    <w:semiHidden/>
    <w:rsid w:val="00C83701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semiHidden/>
    <w:rsid w:val="00C83701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Recuodecorpodetexto">
    <w:name w:val="Body Text Indent"/>
    <w:basedOn w:val="Normal"/>
    <w:link w:val="RecuodecorpodetextoChar"/>
    <w:semiHidden/>
    <w:rsid w:val="00C83701"/>
    <w:pPr>
      <w:ind w:firstLine="1440"/>
      <w:jc w:val="both"/>
    </w:pPr>
    <w:rPr>
      <w:rFonts w:ascii="Arial" w:hAnsi="Arial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83701"/>
    <w:rPr>
      <w:rFonts w:ascii="Arial" w:eastAsia="Times New Roman" w:hAnsi="Arial" w:cs="Times New Roman"/>
      <w:kern w:val="1"/>
      <w:sz w:val="24"/>
      <w:szCs w:val="24"/>
      <w:lang w:val="x-none" w:eastAsia="ar-SA"/>
    </w:rPr>
  </w:style>
  <w:style w:type="paragraph" w:customStyle="1" w:styleId="Recuodecorpodetexto23">
    <w:name w:val="Recuo de corpo de texto 23"/>
    <w:basedOn w:val="Normal"/>
    <w:rsid w:val="00C83701"/>
    <w:pPr>
      <w:spacing w:after="120" w:line="480" w:lineRule="auto"/>
      <w:ind w:left="283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C83701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83701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unhideWhenUsed/>
    <w:rsid w:val="00C83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370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837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3701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1971</Words>
  <Characters>10648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Vieira</dc:creator>
  <cp:keywords/>
  <dc:description/>
  <cp:lastModifiedBy>Juliana Vieira</cp:lastModifiedBy>
  <cp:revision>2</cp:revision>
  <dcterms:created xsi:type="dcterms:W3CDTF">2017-06-23T12:54:00Z</dcterms:created>
  <dcterms:modified xsi:type="dcterms:W3CDTF">2017-06-23T13:14:00Z</dcterms:modified>
</cp:coreProperties>
</file>